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http://schemas.openxmlformats.org/officeDocument/2006/math" xmlns:r="http://schemas.openxmlformats.org/officeDocument/2006/relationships" xmlns:wp="http://schemas.openxmlformats.org/drawingml/2006/wordprocessingDrawing" xmlns:w="http://schemas.openxmlformats.org/wordprocessingml/2006/main" xmlns:w14="http://schemas.microsoft.com/office/word/2010/wordml" xmlns:r14="http://schemas.microsoft.com/office/word/2010/relationships">
  <w:body>
    <w:p>
      <w:pPr>
        <w:pStyle w:val="CadEETableOfContentsTitle"/>
      </w:pPr>
      <w:r>
        <w:t xml:space="preserve">ЗМІСТ</w:t>
      </w:r>
    </w:p>
    <w:p>
      <w:r>
        <w:fldChar w:fldCharType="begin"/>
      </w:r>
      <w:r>
        <w:instrText xml:space="preserve"> TOC \\o "1-4" \\h \\z \\u </w:instrText>
      </w:r>
      <w:r>
        <w:fldChar w:fldCharType="separate"/>
      </w:r>
      <w:r>
        <w:t>Update field in Word.</w:t>
      </w:r>
      <w:r>
        <w:fldChar w:fldCharType="end"/>
      </w:r>
    </w:p>
    <w:p>
      <w:r>
        <w:br w:type="page"/>
      </w:r>
    </w:p>
    <w:p>
      <w:pPr>
        <w:pStyle w:val="CadEEDocumentTitle"/>
        <w:numPr>
          <w:ilvl w:val="0"/>
          <w:numId w:val="1"/>
        </w:numPr>
      </w:pPr>
      <w:bookmarkStart w:id="1" w:name="CadEE_Target_1"/>
      <w:r>
        <w:t xml:space="preserve">Визначення опору теплопередачі конструкції згідно з ДСТУ 9191:2022</w:t>
      </w:r>
      <w:bookmarkEnd w:id="1"/>
    </w:p>
    <w:p>
      <w:pPr>
        <w:pStyle w:val="CadEEHeadingLevel2"/>
        <w:numPr>
          <w:ilvl w:val="1"/>
          <w:numId w:val="1"/>
        </w:numPr>
      </w:pPr>
      <w:bookmarkStart w:id="2" w:name="CadEE_Target_2"/>
      <w:r>
        <w:t xml:space="preserve">Розрахунок термічного опору. Цегляна стіна з мінеральною ватою. </w:t>
      </w:r>
      <w:bookmarkEnd w:id="2"/>
    </w:p>
    <w:p>
      <w:pPr>
        <w:pStyle w:val="CadEENormalText"/>
      </w:pPr>
      <w:r>
        <w:t xml:space="preserve">Визначимо термічний опір фрагменту конструкції згідно з вимогами ДСТУ 9191:2022. </w:t>
      </w:r>
    </w:p>
    <w:p>
      <w:pPr>
        <w:pStyle w:val="CadEENormalText"/>
        <w:numPr>
          <w:ilvl w:val="2"/>
          <w:numId w:val="1"/>
        </w:numPr>
      </w:pPr>
      <w:bookmarkStart w:id="3" w:name="CadEE_Target_3"/>
      <w:r>
        <w:t xml:space="preserve">Опис конструкції. Загальна товщина конструкції складає 0.595 м. Кількість шарів конструкції - 5.  Шар №1 Розчин складний (пісок, вапно, цемент) та товщиною 0.020 м.  Шар №2 Кладка з цегли керамічної повнотілої звичайної на цементно-піщаному розчині з густиною 1800 кг/м3 та товщиною 0.380 м.  Шар №3 Розчин цементно-піщаний та товщиною 0.010 м.  Шар №4 Мінеральна вата (базальтове волокно) з густиною 150 кг/м3 та товщиною 0.180 м.  Шар №5 Розчин цементно-піщаний та товщиною 0.005 м. </w:t>
      </w:r>
      <w:bookmarkEnd w:id="3"/>
    </w:p>
    <w:p>
      <w:pPr>
        <w:jc w:val="center"/>
      </w:pPr>
      <w:r>
        <w:rPr/>
        <w:drawing>
          <wp:inline distT="0" distB="0" distL="0" distR="0">
            <wp:extent cx="5400000" cy="2700000"/>
            <wp:docPr id="1" name="Image1"/>
            <a:graphic xmlns:a="http://schemas.openxmlformats.org/drawingml/2006/main">
              <a:graphicData uri="http://schemas.openxmlformats.org/drawingml/2006/picture">
                <pic:pic xmlns:pic="http://schemas.openxmlformats.org/drawingml/2006/picture">
                  <pic:nvPicPr>
                    <pic:cNvPr id="1" name="Image1"/>
                    <pic:cNvPicPr/>
                  </pic:nvPicPr>
                  <pic:blipFill>
                    <a:blip xmlns:r="http://schemas.openxmlformats.org/officeDocument/2006/relationships" r:embed="rId4"/>
                    <a:stretch>
                      <a:fillRect/>
                    </a:stretch>
                  </pic:blipFill>
                  <pic:spPr>
                    <a:xfrm>
                      <a:off x="0" y="0"/>
                      <a:ext cx="5400000" cy="2700000"/>
                    </a:xfrm>
                    <a:prstGeom prst="rect">
                      <a:avLst/>
                    </a:prstGeom>
                  </pic:spPr>
                </pic:pic>
              </a:graphicData>
            </a:graphic>
          </wp:inline>
        </w:drawing>
      </w:r>
    </w:p>
    <w:p>
      <w:pPr>
        <w:pStyle w:val="CadEEFigureCaption"/>
      </w:pPr>
      <w:r>
        <w:t xml:space="preserve">Рисунок </w:t>
      </w:r>
      <w:bookmarkStart w:id="4" w:name="CadEE_Target_4"/>
      <w:r>
        <w:fldChar w:fldCharType="begin"/>
      </w:r>
      <w:r>
        <w:instrText xml:space="preserve"> SEQ CadEE_Figure \* ARABIC </w:instrText>
      </w:r>
      <w:r>
        <w:fldChar w:fldCharType="separate"/>
      </w:r>
      <w:r>
        <w:t xml:space="preserve">1.1</w:t>
      </w:r>
      <w:r>
        <w:fldChar w:fldCharType="end"/>
      </w:r>
      <w:bookmarkEnd w:id="4"/>
      <w:r>
        <w:t xml:space="preserve">. Розріз огороджувальної конструкції</w:t>
      </w:r>
    </w:p>
    <w:p>
      <w:pPr>
        <w:pStyle w:val="CadEENormalText"/>
        <w:numPr>
          <w:ilvl w:val="2"/>
          <w:numId w:val="1"/>
        </w:numPr>
      </w:pPr>
      <w:bookmarkStart w:id="5" w:name="CadEE_Target_5"/>
      <w:r>
        <w:t xml:space="preserve">Вологісні умови експлуатації матеріалів огороджувальної конструкції визначено згідно з додатком Б ДБН В.2.6-31:2021 . Призначення будівлі - одноквартирний будинок, для якої згідно з т.Б.2 ДБН В.2.6-31:2021 розрахункові значення температури і вологості приміщень θ_int= 20 °С, φ_int= 55 % відповідно. Вологісний режим приміщень приймаємо згідно з т.Б.1 ДБН В.2.6-31:2021 - нормальний,а також враховуючи, що конструкція зовнішня, то умови експлуатації згідно з т.Б.3 ДБН В.2.6-31:2021 - Б.</w:t>
      </w:r>
      <w:bookmarkEnd w:id="5"/>
    </w:p>
    <w:p>
      <w:pPr>
        <w:pStyle w:val="CadEENormalText"/>
        <w:numPr>
          <w:ilvl w:val="2"/>
          <w:numId w:val="1"/>
        </w:numPr>
      </w:pPr>
      <w:bookmarkStart w:id="6" w:name="CadEE_Target_6"/>
      <w:r>
        <w:t xml:space="preserve">Розрахункові характеристики матеріалів конструкції визначаємо згідно з додатком А ДСТУ 9191:2022.</w:t>
      </w:r>
      <w:bookmarkEnd w:id="6"/>
    </w:p>
    <w:p>
      <w:pPr>
        <w:pStyle w:val="CadEETableCaption"/>
      </w:pPr>
      <w:r>
        <w:t xml:space="preserve">Таблиця №</w:t>
      </w:r>
      <w:bookmarkStart w:id="7" w:name="CadEE_Target_7"/>
      <w:r>
        <w:fldChar w:fldCharType="begin"/>
      </w:r>
      <w:r>
        <w:instrText xml:space="preserve"> SEQ CadEE_Table \* ARABIC </w:instrText>
      </w:r>
      <w:r>
        <w:fldChar w:fldCharType="separate"/>
      </w:r>
      <w:r>
        <w:t xml:space="preserve">1.1</w:t>
      </w:r>
      <w:r>
        <w:fldChar w:fldCharType="end"/>
      </w:r>
      <w:bookmarkEnd w:id="7"/>
      <w:r>
        <w:t xml:space="preserve">. Розрахункові характеристики матеріалів шарів конструкції</w:t>
      </w:r>
    </w:p>
    <w:tbl>
      <w:tblPr>
        <w:tblW w:w="1033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Pr>
      <w:tblGrid>
        <w:gridCol w:w="608"/>
        <w:gridCol w:w="5472"/>
        <w:gridCol w:w="1824"/>
        <w:gridCol w:w="2432"/>
      </w:tblGrid>
      <w:tr>
        <w:trPr>
          <w:tblHeader/>
        </w:trPr>
        <w:tc>
          <w:tcPr>
            <w:tcW w:w="608" w:type="dxa"/>
            <w:vAlign w:val="center"/>
            <w:tcMar>
              <w:top w:w="60" w:type="dxa"/>
              <w:left w:w="70" w:type="dxa"/>
              <w:bottom w:w="60" w:type="dxa"/>
              <w:right w:w="70" w:type="dxa"/>
            </w:tcMar>
            <w:tcBorders>
              <w:bottom w:val="nil"/>
            </w:tcBorders>
            <w:shd w:val="clear" w:color="auto" w:fill="EDEDED"/>
          </w:tcPr>
          <w:p>
            <w:pPr>
              <w:pStyle w:val="CadEETableHeadStyle"/>
            </w:pPr>
            <w:r>
              <w:rPr>
                <w:b/>
              </w:rPr>
              <w:t>№</w:t>
            </w:r>
          </w:p>
        </w:tc>
        <w:tc>
          <w:tcPr>
            <w:tcW w:w="5472" w:type="dxa"/>
            <w:vAlign w:val="center"/>
            <w:tcMar>
              <w:top w:w="60" w:type="dxa"/>
              <w:left w:w="70" w:type="dxa"/>
              <w:bottom w:w="60" w:type="dxa"/>
              <w:right w:w="70" w:type="dxa"/>
            </w:tcMar>
            <w:tcBorders>
              <w:bottom w:val="nil"/>
            </w:tcBorders>
            <w:shd w:val="clear" w:color="auto" w:fill="EDEDED"/>
          </w:tcPr>
          <w:p>
            <w:pPr>
              <w:pStyle w:val="CadEETableHeadStyle"/>
            </w:pPr>
            <w:r>
              <w:rPr>
                <w:b/>
              </w:rPr>
              <w:t>Назва шару</w:t>
            </w:r>
          </w:p>
        </w:tc>
        <w:tc>
          <w:tcPr>
            <w:tcW w:w="1824" w:type="dxa"/>
            <w:vAlign w:val="center"/>
            <w:tcMar>
              <w:top w:w="60" w:type="dxa"/>
              <w:left w:w="70" w:type="dxa"/>
              <w:bottom w:w="60" w:type="dxa"/>
              <w:right w:w="70" w:type="dxa"/>
            </w:tcMar>
            <w:tcBorders>
              <w:bottom w:val="nil"/>
            </w:tcBorders>
            <w:shd w:val="clear" w:color="auto" w:fill="EDEDED"/>
          </w:tcPr>
          <w:p>
            <w:pPr>
              <w:pStyle w:val="CadEETableHeadStyle"/>
            </w:pPr>
            <w:r>
              <w:rPr>
                <w:b/>
              </w:rPr>
              <w:t>Товщина,</w:t>
            </w:r>
          </w:p>
        </w:tc>
        <w:tc>
          <w:tcPr>
            <w:tcW w:w="2432" w:type="dxa"/>
            <w:vAlign w:val="center"/>
            <w:tcMar>
              <w:top w:w="60" w:type="dxa"/>
              <w:left w:w="70" w:type="dxa"/>
              <w:bottom w:w="60" w:type="dxa"/>
              <w:right w:w="70" w:type="dxa"/>
            </w:tcMar>
            <w:tcBorders>
              <w:bottom w:val="nil"/>
            </w:tcBorders>
            <w:shd w:val="clear" w:color="auto" w:fill="EDEDED"/>
          </w:tcPr>
          <w:p>
            <w:pPr>
              <w:pStyle w:val="CadEETableHeadStyle"/>
            </w:pPr>
            <w:r>
              <w:rPr>
                <w:b/>
              </w:rPr>
              <w:t>Теплопровідність λ,</w:t>
            </w:r>
          </w:p>
        </w:tc>
      </w:tr>
      <w:tr>
        <w:trPr>
          <w:tblHeader/>
        </w:trPr>
        <w:tc>
          <w:tcPr>
            <w:tcW w:w="608"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5472" w:type="dxa"/>
            <w:vAlign w:val="center"/>
            <w:tcMar>
              <w:top w:w="60" w:type="dxa"/>
              <w:left w:w="70" w:type="dxa"/>
              <w:bottom w:w="60" w:type="dxa"/>
              <w:right w:w="70" w:type="dxa"/>
            </w:tcMar>
            <w:tcBorders>
              <w:top w:val="nil"/>
            </w:tcBorders>
            <w:shd w:val="clear" w:color="auto" w:fill="EDEDED"/>
          </w:tcPr>
          <w:p>
            <w:pPr>
              <w:pStyle w:val="CadEETableHeadStyle"/>
            </w:pPr>
            <w:r>
              <w:rPr>
                <w:b/>
              </w:rPr>
              <w:t/>
            </w:r>
          </w:p>
        </w:tc>
        <w:tc>
          <w:tcPr>
            <w:tcW w:w="1824" w:type="dxa"/>
            <w:vAlign w:val="center"/>
            <w:tcMar>
              <w:top w:w="60" w:type="dxa"/>
              <w:left w:w="70" w:type="dxa"/>
              <w:bottom w:w="60" w:type="dxa"/>
              <w:right w:w="70" w:type="dxa"/>
            </w:tcMar>
            <w:tcBorders>
              <w:top w:val="nil"/>
            </w:tcBorders>
            <w:shd w:val="clear" w:color="auto" w:fill="EDEDED"/>
          </w:tcPr>
          <w:p>
            <w:pPr>
              <w:pStyle w:val="CadEETableHeadStyle"/>
            </w:pPr>
            <w:r>
              <w:rPr>
                <w:b/>
              </w:rPr>
              <w:t>(м)</w:t>
            </w:r>
          </w:p>
        </w:tc>
        <w:tc>
          <w:tcPr>
            <w:tcW w:w="2432" w:type="dxa"/>
            <w:vAlign w:val="center"/>
            <w:tcMar>
              <w:top w:w="60" w:type="dxa"/>
              <w:left w:w="70" w:type="dxa"/>
              <w:bottom w:w="60" w:type="dxa"/>
              <w:right w:w="70" w:type="dxa"/>
            </w:tcMar>
            <w:tcBorders>
              <w:top w:val="nil"/>
            </w:tcBorders>
            <w:shd w:val="clear" w:color="auto" w:fill="EDEDED"/>
          </w:tcPr>
          <w:p>
            <w:pPr>
              <w:pStyle w:val="CadEETableHeadStyle"/>
            </w:pPr>
            <w:r>
              <w:rPr>
                <w:b/>
              </w:rPr>
              <w:t>Вт/(м*K)</w:t>
            </w:r>
          </w:p>
        </w:tc>
      </w:tr>
      <w:tr>
        <w:tc>
          <w:tcPr>
            <w:tcW w:w="608" w:type="dxa"/>
            <w:vAlign w:val="center"/>
            <w:tcMar>
              <w:top w:w="60" w:type="dxa"/>
              <w:left w:w="70" w:type="dxa"/>
              <w:bottom w:w="60" w:type="dxa"/>
              <w:right w:w="70" w:type="dxa"/>
            </w:tcMar>
          </w:tcPr>
          <w:p>
            <w:pPr>
              <w:pStyle w:val="CadEETableStyle"/>
            </w:pPr>
            <w:r>
              <w:t>1</w:t>
            </w:r>
          </w:p>
        </w:tc>
        <w:tc>
          <w:tcPr>
            <w:tcW w:w="5472" w:type="dxa"/>
            <w:vAlign w:val="center"/>
            <w:tcMar>
              <w:top w:w="60" w:type="dxa"/>
              <w:left w:w="70" w:type="dxa"/>
              <w:bottom w:w="60" w:type="dxa"/>
              <w:right w:w="70" w:type="dxa"/>
            </w:tcMar>
          </w:tcPr>
          <w:p>
            <w:pPr>
              <w:pStyle w:val="CadEETableStyle"/>
            </w:pPr>
            <w:r>
              <w:t>Розчин складний (пісок, вапно, цемент)</w:t>
            </w:r>
          </w:p>
        </w:tc>
        <w:tc>
          <w:tcPr>
            <w:tcW w:w="1824" w:type="dxa"/>
            <w:vAlign w:val="center"/>
            <w:tcMar>
              <w:top w:w="60" w:type="dxa"/>
              <w:left w:w="70" w:type="dxa"/>
              <w:bottom w:w="60" w:type="dxa"/>
              <w:right w:w="70" w:type="dxa"/>
            </w:tcMar>
          </w:tcPr>
          <w:p>
            <w:pPr>
              <w:pStyle w:val="CadEETableStyle"/>
            </w:pPr>
            <w:r>
              <w:t>0.02</w:t>
            </w:r>
          </w:p>
        </w:tc>
        <w:tc>
          <w:tcPr>
            <w:tcW w:w="2432" w:type="dxa"/>
            <w:vAlign w:val="center"/>
            <w:tcMar>
              <w:top w:w="60" w:type="dxa"/>
              <w:left w:w="70" w:type="dxa"/>
              <w:bottom w:w="60" w:type="dxa"/>
              <w:right w:w="70" w:type="dxa"/>
            </w:tcMar>
          </w:tcPr>
          <w:p>
            <w:pPr>
              <w:pStyle w:val="CadEETableStyle"/>
            </w:pPr>
            <w:r>
              <w:t>0.87</w:t>
            </w:r>
          </w:p>
        </w:tc>
      </w:tr>
      <w:tr>
        <w:tc>
          <w:tcPr>
            <w:tcW w:w="608" w:type="dxa"/>
            <w:vAlign w:val="center"/>
            <w:tcMar>
              <w:top w:w="60" w:type="dxa"/>
              <w:left w:w="70" w:type="dxa"/>
              <w:bottom w:w="60" w:type="dxa"/>
              <w:right w:w="70" w:type="dxa"/>
            </w:tcMar>
          </w:tcPr>
          <w:p>
            <w:pPr>
              <w:pStyle w:val="CadEETableStyle"/>
            </w:pPr>
            <w:r>
              <w:t>2</w:t>
            </w:r>
          </w:p>
        </w:tc>
        <w:tc>
          <w:tcPr>
            <w:tcW w:w="5472" w:type="dxa"/>
            <w:vAlign w:val="center"/>
            <w:tcMar>
              <w:top w:w="60" w:type="dxa"/>
              <w:left w:w="70" w:type="dxa"/>
              <w:bottom w:w="60" w:type="dxa"/>
              <w:right w:w="70" w:type="dxa"/>
            </w:tcMar>
          </w:tcPr>
          <w:p>
            <w:pPr>
              <w:pStyle w:val="CadEETableStyle"/>
            </w:pPr>
            <w:r>
              <w:t>Кладка з цегли керамічної повнотілої звичайної на цементно-піщаному розчині ρ=1800 кг/м3</w:t>
            </w:r>
          </w:p>
        </w:tc>
        <w:tc>
          <w:tcPr>
            <w:tcW w:w="1824" w:type="dxa"/>
            <w:vAlign w:val="center"/>
            <w:tcMar>
              <w:top w:w="60" w:type="dxa"/>
              <w:left w:w="70" w:type="dxa"/>
              <w:bottom w:w="60" w:type="dxa"/>
              <w:right w:w="70" w:type="dxa"/>
            </w:tcMar>
          </w:tcPr>
          <w:p>
            <w:pPr>
              <w:pStyle w:val="CadEETableStyle"/>
            </w:pPr>
            <w:r>
              <w:t>0.38</w:t>
            </w:r>
          </w:p>
        </w:tc>
        <w:tc>
          <w:tcPr>
            <w:tcW w:w="2432" w:type="dxa"/>
            <w:vAlign w:val="center"/>
            <w:tcMar>
              <w:top w:w="60" w:type="dxa"/>
              <w:left w:w="70" w:type="dxa"/>
              <w:bottom w:w="60" w:type="dxa"/>
              <w:right w:w="70" w:type="dxa"/>
            </w:tcMar>
          </w:tcPr>
          <w:p>
            <w:pPr>
              <w:pStyle w:val="CadEETableStyle"/>
            </w:pPr>
            <w:r>
              <w:t>0.81</w:t>
            </w:r>
          </w:p>
        </w:tc>
      </w:tr>
      <w:tr>
        <w:tc>
          <w:tcPr>
            <w:tcW w:w="608" w:type="dxa"/>
            <w:vAlign w:val="center"/>
            <w:tcMar>
              <w:top w:w="60" w:type="dxa"/>
              <w:left w:w="70" w:type="dxa"/>
              <w:bottom w:w="60" w:type="dxa"/>
              <w:right w:w="70" w:type="dxa"/>
            </w:tcMar>
          </w:tcPr>
          <w:p>
            <w:pPr>
              <w:pStyle w:val="CadEETableStyle"/>
            </w:pPr>
            <w:r>
              <w:t>3</w:t>
            </w:r>
          </w:p>
        </w:tc>
        <w:tc>
          <w:tcPr>
            <w:tcW w:w="5472" w:type="dxa"/>
            <w:vAlign w:val="center"/>
            <w:tcMar>
              <w:top w:w="60" w:type="dxa"/>
              <w:left w:w="70" w:type="dxa"/>
              <w:bottom w:w="60" w:type="dxa"/>
              <w:right w:w="70" w:type="dxa"/>
            </w:tcMar>
          </w:tcPr>
          <w:p>
            <w:pPr>
              <w:pStyle w:val="CadEETableStyle"/>
            </w:pPr>
            <w:r>
              <w:t>Розчин цементно-піщаний</w:t>
            </w:r>
          </w:p>
        </w:tc>
        <w:tc>
          <w:tcPr>
            <w:tcW w:w="1824" w:type="dxa"/>
            <w:vAlign w:val="center"/>
            <w:tcMar>
              <w:top w:w="60" w:type="dxa"/>
              <w:left w:w="70" w:type="dxa"/>
              <w:bottom w:w="60" w:type="dxa"/>
              <w:right w:w="70" w:type="dxa"/>
            </w:tcMar>
          </w:tcPr>
          <w:p>
            <w:pPr>
              <w:pStyle w:val="CadEETableStyle"/>
            </w:pPr>
            <w:r>
              <w:t>0.01</w:t>
            </w:r>
          </w:p>
        </w:tc>
        <w:tc>
          <w:tcPr>
            <w:tcW w:w="2432" w:type="dxa"/>
            <w:vAlign w:val="center"/>
            <w:tcMar>
              <w:top w:w="60" w:type="dxa"/>
              <w:left w:w="70" w:type="dxa"/>
              <w:bottom w:w="60" w:type="dxa"/>
              <w:right w:w="70" w:type="dxa"/>
            </w:tcMar>
          </w:tcPr>
          <w:p>
            <w:pPr>
              <w:pStyle w:val="CadEETableStyle"/>
            </w:pPr>
            <w:r>
              <w:t>0.93</w:t>
            </w:r>
          </w:p>
        </w:tc>
      </w:tr>
      <w:tr>
        <w:tc>
          <w:tcPr>
            <w:tcW w:w="608" w:type="dxa"/>
            <w:vAlign w:val="center"/>
            <w:tcMar>
              <w:top w:w="60" w:type="dxa"/>
              <w:left w:w="70" w:type="dxa"/>
              <w:bottom w:w="60" w:type="dxa"/>
              <w:right w:w="70" w:type="dxa"/>
            </w:tcMar>
          </w:tcPr>
          <w:p>
            <w:pPr>
              <w:pStyle w:val="CadEETableStyle"/>
            </w:pPr>
            <w:r>
              <w:t>4</w:t>
            </w:r>
          </w:p>
        </w:tc>
        <w:tc>
          <w:tcPr>
            <w:tcW w:w="5472" w:type="dxa"/>
            <w:vAlign w:val="center"/>
            <w:tcMar>
              <w:top w:w="60" w:type="dxa"/>
              <w:left w:w="70" w:type="dxa"/>
              <w:bottom w:w="60" w:type="dxa"/>
              <w:right w:w="70" w:type="dxa"/>
            </w:tcMar>
          </w:tcPr>
          <w:p>
            <w:pPr>
              <w:pStyle w:val="CadEETableStyle"/>
            </w:pPr>
            <w:r>
              <w:t>Мінеральна вата (базальтове волокно) ρ=150 кг/м3</w:t>
            </w:r>
          </w:p>
        </w:tc>
        <w:tc>
          <w:tcPr>
            <w:tcW w:w="1824" w:type="dxa"/>
            <w:vAlign w:val="center"/>
            <w:tcMar>
              <w:top w:w="60" w:type="dxa"/>
              <w:left w:w="70" w:type="dxa"/>
              <w:bottom w:w="60" w:type="dxa"/>
              <w:right w:w="70" w:type="dxa"/>
            </w:tcMar>
          </w:tcPr>
          <w:p>
            <w:pPr>
              <w:pStyle w:val="CadEETableStyle"/>
            </w:pPr>
            <w:r>
              <w:t>0.18</w:t>
            </w:r>
          </w:p>
        </w:tc>
        <w:tc>
          <w:tcPr>
            <w:tcW w:w="2432" w:type="dxa"/>
            <w:vAlign w:val="center"/>
            <w:tcMar>
              <w:top w:w="60" w:type="dxa"/>
              <w:left w:w="70" w:type="dxa"/>
              <w:bottom w:w="60" w:type="dxa"/>
              <w:right w:w="70" w:type="dxa"/>
            </w:tcMar>
          </w:tcPr>
          <w:p>
            <w:pPr>
              <w:pStyle w:val="CadEETableStyle"/>
            </w:pPr>
            <w:r>
              <w:t>0.05</w:t>
            </w:r>
          </w:p>
        </w:tc>
      </w:tr>
      <w:tr>
        <w:tc>
          <w:tcPr>
            <w:tcW w:w="608" w:type="dxa"/>
            <w:vAlign w:val="center"/>
            <w:tcMar>
              <w:top w:w="60" w:type="dxa"/>
              <w:left w:w="70" w:type="dxa"/>
              <w:bottom w:w="60" w:type="dxa"/>
              <w:right w:w="70" w:type="dxa"/>
            </w:tcMar>
          </w:tcPr>
          <w:p>
            <w:pPr>
              <w:pStyle w:val="CadEETableStyle"/>
            </w:pPr>
            <w:r>
              <w:t>5</w:t>
            </w:r>
          </w:p>
        </w:tc>
        <w:tc>
          <w:tcPr>
            <w:tcW w:w="5472" w:type="dxa"/>
            <w:vAlign w:val="center"/>
            <w:tcMar>
              <w:top w:w="60" w:type="dxa"/>
              <w:left w:w="70" w:type="dxa"/>
              <w:bottom w:w="60" w:type="dxa"/>
              <w:right w:w="70" w:type="dxa"/>
            </w:tcMar>
          </w:tcPr>
          <w:p>
            <w:pPr>
              <w:pStyle w:val="CadEETableStyle"/>
            </w:pPr>
            <w:r>
              <w:t>Розчин цементно-піщаний</w:t>
            </w:r>
          </w:p>
        </w:tc>
        <w:tc>
          <w:tcPr>
            <w:tcW w:w="1824" w:type="dxa"/>
            <w:vAlign w:val="center"/>
            <w:tcMar>
              <w:top w:w="60" w:type="dxa"/>
              <w:left w:w="70" w:type="dxa"/>
              <w:bottom w:w="60" w:type="dxa"/>
              <w:right w:w="70" w:type="dxa"/>
            </w:tcMar>
          </w:tcPr>
          <w:p>
            <w:pPr>
              <w:pStyle w:val="CadEETableStyle"/>
            </w:pPr>
            <w:r>
              <w:t>0.005</w:t>
            </w:r>
          </w:p>
        </w:tc>
        <w:tc>
          <w:tcPr>
            <w:tcW w:w="2432" w:type="dxa"/>
            <w:vAlign w:val="center"/>
            <w:tcMar>
              <w:top w:w="60" w:type="dxa"/>
              <w:left w:w="70" w:type="dxa"/>
              <w:bottom w:w="60" w:type="dxa"/>
              <w:right w:w="70" w:type="dxa"/>
            </w:tcMar>
          </w:tcPr>
          <w:p>
            <w:pPr>
              <w:pStyle w:val="CadEETableStyle"/>
            </w:pPr>
            <w:r>
              <w:t>0.93</w:t>
            </w:r>
          </w:p>
        </w:tc>
      </w:tr>
    </w:tbl>
    <w:p>
      <w:pPr>
        <w:spacing w:before="0" w:after="0" w:line="80" w:lineRule="exact"/>
      </w:pPr>
    </w:p>
    <w:p>
      <w:pPr>
        <w:pStyle w:val="CadEENormalText"/>
        <w:numPr>
          <w:ilvl w:val="2"/>
          <w:numId w:val="1"/>
        </w:numPr>
      </w:pPr>
      <w:bookmarkStart w:id="8" w:name="CadEE_Target_8"/>
      <w:r>
        <w:t xml:space="preserve">Коефіцієнти тепловіддачі визначаємо згідно з таблицею Б додатку Б ДСТУ 9191:2022. Для конструкції типу - стіна, розрахункові значення коефіцієнтів тепловіддачі внутрішньої  та зовнішньої поверхонь огороджувальних конструкцій прийнято:</w:t>
      </w:r>
      <w:bookmarkEnd w:id="8"/>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h</m:t>
                    </m:r>
                  </m:e>
                  <m:sub>
                    <m:r>
                      <m:rPr>
                        <m:sty m:val="i"/>
                      </m:rPr>
                      <m:t>si</m:t>
                    </m:r>
                  </m:sub>
                </m:sSub>
                <m:r>
                  <m:t>=</m:t>
                </m:r>
                <m:r>
                  <m:t>8.7</m:t>
                </m:r>
                <m:f>
                  <m:num>
                    <m:r>
                      <m:t>Вт</m:t>
                    </m:r>
                  </m:num>
                  <m:den>
                    <m:sSup>
                      <m:e>
                        <m:r>
                          <m:t>м</m:t>
                        </m:r>
                      </m:e>
                      <m:sup>
                        <m:r>
                          <m:t>2</m:t>
                        </m:r>
                      </m:sup>
                    </m:sSup>
                    <m:r>
                      <m:t>·</m:t>
                    </m:r>
                    <m:r>
                      <m:t>К</m:t>
                    </m:r>
                  </m:den>
                </m:f>
                <m:r>
                  <m:t xml:space="preserve"> </m:t>
                </m:r>
                <m:sSub>
                  <m:e>
                    <m:r>
                      <m:rPr>
                        <m:sty m:val="i"/>
                      </m:rPr>
                      <m:t>h</m:t>
                    </m:r>
                  </m:e>
                  <m:sub>
                    <m:r>
                      <m:rPr>
                        <m:sty m:val="i"/>
                      </m:rPr>
                      <m:t>se</m:t>
                    </m:r>
                  </m:sub>
                </m:sSub>
                <m:r>
                  <m:t>=</m:t>
                </m:r>
                <m:r>
                  <m:t>23</m:t>
                </m:r>
                <m:f>
                  <m:num>
                    <m:r>
                      <m:t>Вт</m:t>
                    </m:r>
                  </m:num>
                  <m:den>
                    <m:sSup>
                      <m:e>
                        <m:r>
                          <m:t>м</m:t>
                        </m:r>
                      </m:e>
                      <m:sup>
                        <m:r>
                          <m:t>2</m:t>
                        </m:r>
                      </m:sup>
                    </m:sSup>
                    <m:r>
                      <m:t>·</m:t>
                    </m:r>
                    <m:r>
                      <m:t>К</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9" w:name="CadEE_Target_9"/>
            <w:r>
              <w:fldChar w:fldCharType="begin"/>
            </w:r>
            <w:r>
              <w:instrText xml:space="preserve"> SEQ CadEE_Formula \* ARABIC </w:instrText>
            </w:r>
            <w:r>
              <w:fldChar w:fldCharType="separate"/>
            </w:r>
            <w:r>
              <w:t xml:space="preserve">1</w:t>
            </w:r>
            <w:r>
              <w:fldChar w:fldCharType="end"/>
            </w:r>
            <w:bookmarkEnd w:id="9"/>
            <w:r>
              <w:t>)</w:t>
            </w:r>
          </w:p>
        </w:tc>
      </w:tr>
    </w:tbl>
    <w:p>
      <w:pPr>
        <w:pStyle w:val="CadEENormalText"/>
        <w:numPr>
          <w:ilvl w:val="2"/>
          <w:numId w:val="1"/>
        </w:numPr>
      </w:pPr>
      <w:bookmarkStart w:id="10" w:name="CadEE_Target_10"/>
      <w:r>
        <w:t xml:space="preserve">Визначаємо опір теплопередачі конструкції згідно з формулою 2 ДСТУ 9191:2022:</w:t>
      </w:r>
      <w:bookmarkEnd w:id="10"/>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rPr>
                        <m:sty m:val="i"/>
                      </m:rPr>
                      <m:t>s</m:t>
                    </m:r>
                  </m:sub>
                </m:sSub>
                <m:r>
                  <m:t>=</m:t>
                </m:r>
                <m:f>
                  <m:num>
                    <m:r>
                      <m:t>1</m:t>
                    </m:r>
                  </m:num>
                  <m:den>
                    <m:sSub>
                      <m:e>
                        <m:r>
                          <m:rPr>
                            <m:sty m:val="i"/>
                          </m:rPr>
                          <m:t>h</m:t>
                        </m:r>
                      </m:e>
                      <m:sub>
                        <m:r>
                          <m:rPr>
                            <m:sty m:val="i"/>
                          </m:rPr>
                          <m:t>si</m:t>
                        </m:r>
                      </m:sub>
                    </m:sSub>
                  </m:den>
                </m:f>
                <m:r>
                  <m:t>+</m:t>
                </m:r>
                <m:f>
                  <m:num>
                    <m:sSub>
                      <m:e>
                        <m:r>
                          <m:rPr>
                            <m:sty m:val="i"/>
                          </m:rPr>
                          <m:t>d</m:t>
                        </m:r>
                      </m:e>
                      <m:sub>
                        <m:r>
                          <m:t>1</m:t>
                        </m:r>
                      </m:sub>
                    </m:sSub>
                  </m:num>
                  <m:den>
                    <m:sSub>
                      <m:e>
                        <m:r>
                          <m:t>λ</m:t>
                        </m:r>
                      </m:e>
                      <m:sub>
                        <m:sSub>
                          <m:e>
                            <m:r>
                              <m:t>р</m:t>
                            </m:r>
                          </m:e>
                          <m:sub>
                            <m:r>
                              <m:t>1</m:t>
                            </m:r>
                          </m:sub>
                        </m:sSub>
                      </m:sub>
                    </m:sSub>
                  </m:den>
                </m:f>
                <m:r>
                  <m:t>+</m:t>
                </m:r>
                <m:f>
                  <m:num>
                    <m:sSub>
                      <m:e>
                        <m:r>
                          <m:rPr>
                            <m:sty m:val="i"/>
                          </m:rPr>
                          <m:t>d</m:t>
                        </m:r>
                      </m:e>
                      <m:sub>
                        <m:r>
                          <m:t>2</m:t>
                        </m:r>
                      </m:sub>
                    </m:sSub>
                  </m:num>
                  <m:den>
                    <m:sSub>
                      <m:e>
                        <m:r>
                          <m:t>λ</m:t>
                        </m:r>
                      </m:e>
                      <m:sub>
                        <m:sSub>
                          <m:e>
                            <m:r>
                              <m:t>р</m:t>
                            </m:r>
                          </m:e>
                          <m:sub>
                            <m:r>
                              <m:t>2</m:t>
                            </m:r>
                          </m:sub>
                        </m:sSub>
                      </m:sub>
                    </m:sSub>
                  </m:den>
                </m:f>
                <m:r>
                  <m:t>+</m:t>
                </m:r>
                <m:f>
                  <m:num>
                    <m:sSub>
                      <m:e>
                        <m:r>
                          <m:rPr>
                            <m:sty m:val="i"/>
                          </m:rPr>
                          <m:t>d</m:t>
                        </m:r>
                      </m:e>
                      <m:sub>
                        <m:r>
                          <m:t>3</m:t>
                        </m:r>
                      </m:sub>
                    </m:sSub>
                  </m:num>
                  <m:den>
                    <m:sSub>
                      <m:e>
                        <m:r>
                          <m:t>λ</m:t>
                        </m:r>
                      </m:e>
                      <m:sub>
                        <m:sSub>
                          <m:e>
                            <m:r>
                              <m:t>р</m:t>
                            </m:r>
                          </m:e>
                          <m:sub>
                            <m:r>
                              <m:t>3</m:t>
                            </m:r>
                          </m:sub>
                        </m:sSub>
                      </m:sub>
                    </m:sSub>
                  </m:den>
                </m:f>
                <m:r>
                  <m:t>+</m:t>
                </m:r>
                <m:f>
                  <m:num>
                    <m:sSub>
                      <m:e>
                        <m:r>
                          <m:rPr>
                            <m:sty m:val="i"/>
                          </m:rPr>
                          <m:t>d</m:t>
                        </m:r>
                      </m:e>
                      <m:sub>
                        <m:r>
                          <m:t>4</m:t>
                        </m:r>
                      </m:sub>
                    </m:sSub>
                  </m:num>
                  <m:den>
                    <m:sSub>
                      <m:e>
                        <m:r>
                          <m:t>λ</m:t>
                        </m:r>
                      </m:e>
                      <m:sub>
                        <m:sSub>
                          <m:e>
                            <m:r>
                              <m:t>р</m:t>
                            </m:r>
                          </m:e>
                          <m:sub>
                            <m:r>
                              <m:t>4</m:t>
                            </m:r>
                          </m:sub>
                        </m:sSub>
                      </m:sub>
                    </m:sSub>
                  </m:den>
                </m:f>
                <m:r>
                  <m:t>+</m:t>
                </m:r>
                <m:f>
                  <m:num>
                    <m:sSub>
                      <m:e>
                        <m:r>
                          <m:rPr>
                            <m:sty m:val="i"/>
                          </m:rPr>
                          <m:t>d</m:t>
                        </m:r>
                      </m:e>
                      <m:sub>
                        <m:r>
                          <m:t>5</m:t>
                        </m:r>
                      </m:sub>
                    </m:sSub>
                  </m:num>
                  <m:den>
                    <m:sSub>
                      <m:e>
                        <m:r>
                          <m:t>λ</m:t>
                        </m:r>
                      </m:e>
                      <m:sub>
                        <m:sSub>
                          <m:e>
                            <m:r>
                              <m:t>р</m:t>
                            </m:r>
                          </m:e>
                          <m:sub>
                            <m:r>
                              <m:t>5</m:t>
                            </m:r>
                          </m:sub>
                        </m:sSub>
                      </m:sub>
                    </m:sSub>
                  </m:den>
                </m:f>
                <m:r>
                  <m:t>+</m:t>
                </m:r>
                <m:f>
                  <m:num>
                    <m:r>
                      <m:t>1</m:t>
                    </m:r>
                  </m:num>
                  <m:den>
                    <m:sSub>
                      <m:e>
                        <m:r>
                          <m:rPr>
                            <m:sty m:val="i"/>
                          </m:rPr>
                          <m:t>h</m:t>
                        </m:r>
                      </m:e>
                      <m:sub>
                        <m:r>
                          <m:rPr>
                            <m:sty m:val="i"/>
                          </m:rPr>
                          <m:t>se</m:t>
                        </m:r>
                      </m:sub>
                    </m:sSub>
                  </m:den>
                </m:f>
                <m:r>
                  <m:t>=</m:t>
                </m:r>
                <m:f>
                  <m:num>
                    <m:r>
                      <m:t>1</m:t>
                    </m:r>
                  </m:num>
                  <m:den>
                    <m:r>
                      <m:t>8.7</m:t>
                    </m:r>
                  </m:den>
                </m:f>
                <m:r>
                  <m:t>+</m:t>
                </m:r>
                <m:f>
                  <m:num>
                    <m:r>
                      <m:t>0.02</m:t>
                    </m:r>
                  </m:num>
                  <m:den>
                    <m:r>
                      <m:t>0.87</m:t>
                    </m:r>
                  </m:den>
                </m:f>
                <m:r>
                  <m:t>+</m:t>
                </m:r>
                <m:f>
                  <m:num>
                    <m:r>
                      <m:t>0.38</m:t>
                    </m:r>
                  </m:num>
                  <m:den>
                    <m:r>
                      <m:t>0.81</m:t>
                    </m:r>
                  </m:den>
                </m:f>
                <m:r>
                  <m:t>+</m:t>
                </m:r>
                <m:f>
                  <m:num>
                    <m:r>
                      <m:t>0.01</m:t>
                    </m:r>
                  </m:num>
                  <m:den>
                    <m:r>
                      <m:t>0.93</m:t>
                    </m:r>
                  </m:den>
                </m:f>
                <m:r>
                  <m:t>+</m:t>
                </m:r>
                <m:f>
                  <m:num>
                    <m:r>
                      <m:t>0.18</m:t>
                    </m:r>
                  </m:num>
                  <m:den>
                    <m:r>
                      <m:t>0.05</m:t>
                    </m:r>
                  </m:den>
                </m:f>
                <m:r>
                  <m:t>+</m:t>
                </m:r>
                <m:f>
                  <m:num>
                    <m:r>
                      <m:t>0.005</m:t>
                    </m:r>
                  </m:num>
                  <m:den>
                    <m:r>
                      <m:t>0.93</m:t>
                    </m:r>
                  </m:den>
                </m:f>
                <m:r>
                  <m:t>+</m:t>
                </m:r>
                <m:f>
                  <m:num>
                    <m:r>
                      <m:t>1</m:t>
                    </m:r>
                  </m:num>
                  <m:den>
                    <m:r>
                      <m:t>23</m:t>
                    </m:r>
                  </m:den>
                </m:f>
                <m:r>
                  <m:t>=</m:t>
                </m:r>
                <m:r>
                  <m:t>4.267</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1" w:name="CadEE_Target_11"/>
            <w:r>
              <w:fldChar w:fldCharType="begin"/>
            </w:r>
            <w:r>
              <w:instrText xml:space="preserve"> SEQ CadEE_Formula \* ARABIC </w:instrText>
            </w:r>
            <w:r>
              <w:fldChar w:fldCharType="separate"/>
            </w:r>
            <w:r>
              <w:t xml:space="preserve">2</w:t>
            </w:r>
            <w:r>
              <w:fldChar w:fldCharType="end"/>
            </w:r>
            <w:bookmarkEnd w:id="11"/>
            <w:r>
              <w:t>)</w:t>
            </w:r>
          </w:p>
        </w:tc>
      </w:tr>
    </w:tbl>
    <w:p>
      <w:pPr>
        <w:pStyle w:val="CadEENormalText"/>
      </w:pPr>
      <w:r>
        <w:t xml:space="preserve">де </w:t>
      </w:r>
      <w:r>
        <w:rPr>
          <w:rFonts w:ascii="Cambria Math" w:hAnsi="Cambria Math" w:eastAsia="Cambria Math" w:cs="Cambria Math"/>
        </w:rPr>
        <w:t xml:space="preserve">h</w:t>
      </w:r>
      <w:r>
        <w:rPr>
          <w:rFonts w:ascii="Cambria Math" w:hAnsi="Cambria Math" w:eastAsia="Cambria Math" w:cs="Cambria Math"/>
          <w:vertAlign w:val="subscript"/>
        </w:rPr>
        <w:t xml:space="preserve">si</w:t>
      </w:r>
      <w:r>
        <w:t xml:space="preserve">, </w:t>
      </w:r>
      <w:r>
        <w:rPr>
          <w:rFonts w:ascii="Cambria Math" w:hAnsi="Cambria Math" w:eastAsia="Cambria Math" w:cs="Cambria Math"/>
        </w:rPr>
        <w:t xml:space="preserve">h</w:t>
      </w:r>
      <w:r>
        <w:rPr>
          <w:rFonts w:ascii="Cambria Math" w:hAnsi="Cambria Math" w:eastAsia="Cambria Math" w:cs="Cambria Math"/>
          <w:vertAlign w:val="subscript"/>
        </w:rPr>
        <w:t xml:space="preserve">se</w:t>
      </w:r>
      <w:r>
        <w:t xml:space="preserve">,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1</w:t>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2</w:t>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3</w:t>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4</w:t>
      </w:r>
      <w:r>
        <w:t xml:space="preserve">, </w:t>
      </w:r>
      <w:r>
        <w:rPr>
          <w:rFonts w:ascii="Cambria Math" w:hAnsi="Cambria Math" w:eastAsia="Cambria Math" w:cs="Cambria Math"/>
        </w:rPr>
        <w:t xml:space="preserve">d</w:t>
      </w:r>
      <w:r>
        <w:rPr>
          <w:rFonts w:ascii="Cambria Math" w:hAnsi="Cambria Math" w:eastAsia="Cambria Math" w:cs="Cambria Math"/>
          <w:vertAlign w:val="subscript"/>
        </w:rPr>
        <w:t xml:space="preserve">5</w:t>
      </w:r>
      <w:r>
        <w:t xml:space="preserve"> - товщина шару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р1</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р2</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р3</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р4</w:t>
      </w:r>
      <w:r>
        <w:t xml:space="preserve">, </w:t>
      </w:r>
      <w:r>
        <w:rPr>
          <w:rFonts w:ascii="Cambria Math" w:hAnsi="Cambria Math" w:eastAsia="Cambria Math" w:cs="Cambria Math"/>
        </w:rPr>
        <w:t xml:space="preserve">λ</w:t>
      </w:r>
      <w:r>
        <w:rPr>
          <w:rFonts w:ascii="Cambria Math" w:hAnsi="Cambria Math" w:eastAsia="Cambria Math" w:cs="Cambria Math"/>
          <w:vertAlign w:val="subscript"/>
        </w:rPr>
        <w:t xml:space="preserve">р5</w:t>
      </w:r>
      <w:r>
        <w:t xml:space="preserve"> - розрахункова теплопровідність матеріалу шару, див. п.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 </w:t>
      </w:r>
      <w:r>
        <w:fldChar w:fldCharType="begin"/>
      </w:r>
      <w:r>
        <w:instrText xml:space="preserve"> REF CadEE_Target_1 \n \h </w:instrText>
      </w:r>
      <w:r>
        <w:fldChar w:fldCharType="separate"/>
      </w:r>
      <w:r>
        <w:t xml:space="preserve">1</w:t>
      </w:r>
      <w:r>
        <w:fldChar w:fldCharType="end"/>
      </w:r>
      <w:r>
        <w:t xml:space="preserve">.</w:t>
      </w:r>
    </w:p>
    <w:p>
      <w:pPr>
        <w:pStyle w:val="CadEENormalText"/>
        <w:numPr>
          <w:ilvl w:val="2"/>
          <w:numId w:val="1"/>
        </w:numPr>
      </w:pPr>
      <w:bookmarkStart w:id="12" w:name="CadEE_Target_12"/>
      <w:r>
        <w:t xml:space="preserve">Загальна площа огороджувальної конструкції, обчислена за внутрішнім виміром із додаванням площ внутрішніх укосів прорізів та відніманням площ прорізів та площа термічно однорідної частини непрозорої конструкції, що не містить площі внутрішніх укосів прорізів дорівнюють відповідно:</w:t>
      </w:r>
      <w:bookmarkEnd w:id="12"/>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A</m:t>
                    </m:r>
                  </m:e>
                  <m:sub>
                    <m:r>
                      <m:t>Σ</m:t>
                    </m:r>
                  </m:sub>
                </m:sSub>
                <m:r>
                  <m:t>=</m:t>
                </m:r>
                <m:r>
                  <m:t>1</m:t>
                </m:r>
                <m:sSup>
                  <m:e>
                    <m:r>
                      <m:t>м</m:t>
                    </m:r>
                  </m:e>
                  <m:sup>
                    <m:r>
                      <m:t>2</m:t>
                    </m:r>
                  </m:sup>
                </m:sSup>
                <m:r>
                  <m:t xml:space="preserve"> </m:t>
                </m:r>
                <m:sSub>
                  <m:e>
                    <m:r>
                      <m:rPr>
                        <m:sty m:val="i"/>
                      </m:rPr>
                      <m:t>A</m:t>
                    </m:r>
                  </m:e>
                  <m:sub>
                    <m:r>
                      <m:t>1</m:t>
                    </m:r>
                  </m:sub>
                </m:sSub>
                <m:r>
                  <m:t>=</m:t>
                </m:r>
                <m:r>
                  <m:t>1</m:t>
                </m:r>
                <m:sSup>
                  <m:e>
                    <m:r>
                      <m:t>м</m:t>
                    </m:r>
                  </m:e>
                  <m:sup>
                    <m:r>
                      <m:t>2</m:t>
                    </m:r>
                  </m:sup>
                </m:sSup>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3" w:name="CadEE_Target_13"/>
            <w:r>
              <w:fldChar w:fldCharType="begin"/>
            </w:r>
            <w:r>
              <w:instrText xml:space="preserve"> SEQ CadEE_Formula \* ARABIC </w:instrText>
            </w:r>
            <w:r>
              <w:fldChar w:fldCharType="separate"/>
            </w:r>
            <w:r>
              <w:t xml:space="preserve">3</w:t>
            </w:r>
            <w:r>
              <w:fldChar w:fldCharType="end"/>
            </w:r>
            <w:bookmarkEnd w:id="13"/>
            <w:r>
              <w:t>)</w:t>
            </w:r>
          </w:p>
        </w:tc>
      </w:tr>
    </w:tbl>
    <w:p>
      <w:pPr>
        <w:pStyle w:val="CadEENormalText"/>
        <w:numPr>
          <w:ilvl w:val="2"/>
          <w:numId w:val="1"/>
        </w:numPr>
      </w:pPr>
      <w:bookmarkStart w:id="14" w:name="CadEE_Target_14"/>
      <w:r>
        <w:t xml:space="preserve">На фрагменті, що розглядається, відсутні теплопровідні включення, що відносяться до непрозорої огороджувальної конструкції.</w:t>
      </w:r>
      <w:bookmarkEnd w:id="14"/>
    </w:p>
    <w:p>
      <w:pPr>
        <w:pStyle w:val="CadEENormalText"/>
        <w:numPr>
          <w:ilvl w:val="2"/>
          <w:numId w:val="1"/>
        </w:numPr>
      </w:pPr>
      <w:bookmarkStart w:id="15" w:name="CadEE_Target_15"/>
      <w:r>
        <w:t xml:space="preserve">Визначаємо приведений опір теплопередачі конструкції згідно з формулою 1 ДСТУ 9191:2022:</w:t>
      </w:r>
      <w:bookmarkEnd w:id="15"/>
    </w:p>
    <w:tbl>
      <w:tblPr>
        <w:tblW w:w="10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00"/>
        <w:gridCol w:w="7336"/>
        <w:gridCol w:w="1500"/>
      </w:tblGrid>
      <w:tr>
        <w:tc>
          <w:tcPr>
            <w:tcW w:w="1500" w:type="dxa"/>
            <w:tcBorders>
              <w:top w:val="none" w:sz="0" w:space="0" w:color="auto"/>
              <w:left w:val="none" w:sz="0" w:space="0" w:color="auto"/>
              <w:bottom w:val="none" w:sz="0" w:space="0" w:color="auto"/>
              <w:right w:val="none" w:sz="0" w:space="0" w:color="auto"/>
            </w:tcBorders>
            <w:vAlign w:val="center"/>
          </w:tcPr>
          <w:p/>
        </w:tc>
        <w:tc>
          <w:tcPr>
            <w:tcW w:w="7336" w:type="dxa"/>
            <w:tcBorders>
              <w:top w:val="none" w:sz="0" w:space="0" w:color="auto"/>
              <w:left w:val="none" w:sz="0" w:space="0" w:color="auto"/>
              <w:bottom w:val="none" w:sz="0" w:space="0" w:color="auto"/>
              <w:right w:val="none" w:sz="0" w:space="0" w:color="auto"/>
            </w:tcBorders>
            <w:vAlign w:val="center"/>
          </w:tcPr>
          <w:p>
            <w:pPr>
              <w:pStyle w:val="CadEEEquationStyle"/>
              <w:spacing w:before="0" w:after="0" w:line="240" w:lineRule="auto"/>
              <w:jc w:val="center"/>
            </w:pPr>
            <m:oMathPara>
              <m:oMath>
                <m:sSub>
                  <m:e>
                    <m:r>
                      <m:rPr>
                        <m:sty m:val="i"/>
                      </m:rPr>
                      <m:t>R</m:t>
                    </m:r>
                  </m:e>
                  <m:sub>
                    <m:r>
                      <m:t>Σпр</m:t>
                    </m:r>
                  </m:sub>
                </m:sSub>
                <m:r>
                  <m:t>=</m:t>
                </m:r>
                <m:f>
                  <m:num>
                    <m:sSub>
                      <m:e>
                        <m:r>
                          <m:rPr>
                            <m:sty m:val="i"/>
                          </m:rPr>
                          <m:t>A</m:t>
                        </m:r>
                      </m:e>
                      <m:sub>
                        <m:r>
                          <m:t>Σ</m:t>
                        </m:r>
                      </m:sub>
                    </m:sSub>
                  </m:num>
                  <m:den>
                    <m:f>
                      <m:num>
                        <m:sSub>
                          <m:e>
                            <m:r>
                              <m:rPr>
                                <m:sty m:val="i"/>
                              </m:rPr>
                              <m:t>A</m:t>
                            </m:r>
                          </m:e>
                          <m:sub>
                            <m:r>
                              <m:t>1</m:t>
                            </m:r>
                          </m:sub>
                        </m:sSub>
                      </m:num>
                      <m:den>
                        <m:sSub>
                          <m:e>
                            <m:r>
                              <m:rPr>
                                <m:sty m:val="i"/>
                              </m:rPr>
                              <m:t>R</m:t>
                            </m:r>
                          </m:e>
                          <m:sub>
                            <m:r>
                              <m:rPr>
                                <m:sty m:val="i"/>
                              </m:rPr>
                              <m:t>s</m:t>
                            </m:r>
                          </m:sub>
                        </m:sSub>
                      </m:den>
                    </m:f>
                  </m:den>
                </m:f>
                <m:r>
                  <m:t>=</m:t>
                </m:r>
                <m:f>
                  <m:num>
                    <m:r>
                      <m:t>1</m:t>
                    </m:r>
                  </m:num>
                  <m:den>
                    <m:f>
                      <m:num>
                        <m:r>
                          <m:t>1</m:t>
                        </m:r>
                      </m:num>
                      <m:den>
                        <m:r>
                          <m:t>4.267</m:t>
                        </m:r>
                      </m:den>
                    </m:f>
                  </m:den>
                </m:f>
                <m:r>
                  <m:t>=</m:t>
                </m:r>
                <m:r>
                  <m:t>4.267</m:t>
                </m:r>
                <m:r>
                  <m:t xml:space="preserve"> </m:t>
                </m:r>
                <m:f>
                  <m:num>
                    <m:sSup>
                      <m:e>
                        <m:r>
                          <m:t>м</m:t>
                        </m:r>
                      </m:e>
                      <m:sup>
                        <m:r>
                          <m:t>2</m:t>
                        </m:r>
                      </m:sup>
                    </m:sSup>
                    <m:r>
                      <m:t>·</m:t>
                    </m:r>
                    <m:r>
                      <m:rPr>
                        <m:sty m:val="i"/>
                      </m:rPr>
                      <m:t>K</m:t>
                    </m:r>
                  </m:num>
                  <m:den>
                    <m:r>
                      <m:t>Вт</m:t>
                    </m:r>
                  </m:den>
                </m:f>
              </m:oMath>
            </m:oMathPara>
          </w:p>
        </w:tc>
        <w:tc>
          <w:tcPr>
            <w:tcW w:w="1500" w:type="dxa"/>
            <w:tcBorders>
              <w:top w:val="none" w:sz="0" w:space="0" w:color="auto"/>
              <w:left w:val="none" w:sz="0" w:space="0" w:color="auto"/>
              <w:bottom w:val="none" w:sz="0" w:space="0" w:color="auto"/>
              <w:right w:val="none" w:sz="0" w:space="0" w:color="auto"/>
            </w:tcBorders>
            <w:vAlign w:val="center"/>
          </w:tcPr>
          <w:p>
            <w:pPr>
              <w:spacing w:before="0" w:after="0" w:line="240" w:lineRule="auto"/>
              <w:jc w:val="right"/>
            </w:pPr>
            <w:r>
              <w:t>(</w:t>
            </w:r>
            <w:bookmarkStart w:id="16" w:name="CadEE_Target_16"/>
            <w:r>
              <w:fldChar w:fldCharType="begin"/>
            </w:r>
            <w:r>
              <w:instrText xml:space="preserve"> SEQ CadEE_Formula \* ARABIC </w:instrText>
            </w:r>
            <w:r>
              <w:fldChar w:fldCharType="separate"/>
            </w:r>
            <w:r>
              <w:t xml:space="preserve">4</w:t>
            </w:r>
            <w:r>
              <w:fldChar w:fldCharType="end"/>
            </w:r>
            <w:bookmarkEnd w:id="16"/>
            <w:r>
              <w:t>)</w:t>
            </w:r>
          </w:p>
        </w:tc>
      </w:tr>
    </w:tbl>
    <w:p>
      <w:pPr>
        <w:pStyle w:val="CadEENormalText"/>
      </w:pPr>
      <w:r>
        <w:t xml:space="preserve">де </w:t>
      </w:r>
      <w:r>
        <w:rPr>
          <w:rFonts w:ascii="Cambria Math" w:hAnsi="Cambria Math" w:eastAsia="Cambria Math" w:cs="Cambria Math"/>
        </w:rPr>
        <w:t xml:space="preserve">A</w:t>
      </w:r>
      <w:r>
        <w:rPr>
          <w:rFonts w:ascii="Cambria Math" w:hAnsi="Cambria Math" w:eastAsia="Cambria Math" w:cs="Cambria Math"/>
          <w:vertAlign w:val="subscript"/>
        </w:rPr>
        <w:t xml:space="preserve">Σ</w:t>
      </w:r>
      <w:r>
        <w:t xml:space="preserve"> - загальна площа огороджувальної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A</w:t>
      </w:r>
      <w:r>
        <w:rPr>
          <w:rFonts w:ascii="Cambria Math" w:hAnsi="Cambria Math" w:eastAsia="Cambria Math" w:cs="Cambria Math"/>
          <w:vertAlign w:val="subscript"/>
        </w:rPr>
        <w:t xml:space="preserve">1</w:t>
      </w:r>
      <w:r>
        <w:t xml:space="preserve"> - площа термічно однорідної частини конструкції, див. п. </w:t>
      </w:r>
      <w:r>
        <w:fldChar w:fldCharType="begin"/>
      </w:r>
      <w:r>
        <w:instrText xml:space="preserve"> REF CadEE_Target_1 \n \h </w:instrText>
      </w:r>
      <w:r>
        <w:fldChar w:fldCharType="separate"/>
      </w:r>
      <w:r>
        <w:t xml:space="preserve">1</w:t>
      </w:r>
      <w:r>
        <w:fldChar w:fldCharType="end"/>
      </w:r>
      <w:r>
        <w:t xml:space="preserve">; </w:t>
      </w:r>
      <w:r>
        <w:rPr>
          <w:rFonts w:ascii="Cambria Math" w:hAnsi="Cambria Math" w:eastAsia="Cambria Math" w:cs="Cambria Math"/>
        </w:rPr>
        <w:t xml:space="preserve">R</w:t>
      </w:r>
      <w:r>
        <w:rPr>
          <w:rFonts w:ascii="Cambria Math" w:hAnsi="Cambria Math" w:eastAsia="Cambria Math" w:cs="Cambria Math"/>
          <w:vertAlign w:val="subscript"/>
        </w:rPr>
        <w:t xml:space="preserve">s</w:t>
      </w:r>
      <w:r>
        <w:t xml:space="preserve"> - загальний опір теплопередачі конструкції, див. п. </w:t>
      </w:r>
      <w:r>
        <w:fldChar w:fldCharType="begin"/>
      </w:r>
      <w:r>
        <w:instrText xml:space="preserve"> REF CadEE_Target_10 \n \h </w:instrText>
      </w:r>
      <w:r>
        <w:fldChar w:fldCharType="separate"/>
      </w:r>
      <w:r>
        <w:t xml:space="preserve">1.1.5</w:t>
      </w:r>
      <w:r>
        <w:fldChar w:fldCharType="end"/>
      </w:r>
      <w:r>
        <w:t xml:space="preserve">.</w:t>
      </w:r>
    </w:p>
    <w:p>
      <w:pPr>
        <w:pStyle w:val="CadEENormalText"/>
        <w:numPr>
          <w:ilvl w:val="2"/>
          <w:numId w:val="1"/>
        </w:numPr>
      </w:pPr>
      <w:bookmarkStart w:id="17" w:name="CadEE_Target_17"/>
      <w:r>
        <w:t xml:space="preserve">Визначимо мінімально допустиме значення приведеного опору теплопередачі  згідно з ДБН В.2.6-31:2021. Температурна зона згідно з додатком A ДБН В.2.6-31:2021 - I (м. Київ). Допустиме значення опору теплопередачі визначаємо з  таблиці 1 ДБН В.2.6-31:2021 (як для типу конструкції - стіна, та типу будівлі - одноквартирний будинок):</w:t>
      </w:r>
      <w:bookmarkEnd w:id="17"/>
    </w:p>
    <w:p>
      <w:pPr>
        <w:pStyle w:val="CadEEEquationStyle"/>
      </w:pPr>
      <m:oMathPara>
        <m:oMath>
          <m:sSub>
            <m:e>
              <m:r>
                <m:rPr>
                  <m:sty m:val="i"/>
                </m:rPr>
                <m:t>R</m:t>
              </m:r>
            </m:e>
            <m:sub>
              <m:r>
                <m:rPr>
                  <m:sty m:val="i"/>
                </m:rPr>
                <m:t>qmin</m:t>
              </m:r>
            </m:sub>
          </m:sSub>
          <m:r>
            <m:t>=</m:t>
          </m:r>
          <m:r>
            <m:t>4</m:t>
          </m:r>
          <m:r>
            <m:t xml:space="preserve"> </m:t>
          </m:r>
          <m:f>
            <m:num>
              <m:sSup>
                <m:e>
                  <m:r>
                    <m:t>м</m:t>
                  </m:r>
                </m:e>
                <m:sup>
                  <m:r>
                    <m:t>2</m:t>
                  </m:r>
                </m:sup>
              </m:sSup>
              <m:r>
                <m:t>·</m:t>
              </m:r>
              <m:r>
                <m:rPr>
                  <m:sty m:val="i"/>
                </m:rPr>
                <m:t>K</m:t>
              </m:r>
            </m:num>
            <m:den>
              <m:r>
                <m:t>Вт</m:t>
              </m:r>
            </m:den>
          </m:f>
        </m:oMath>
      </m:oMathPara>
    </w:p>
    <w:p>
      <w:pPr>
        <w:pStyle w:val="CadEENormalText"/>
        <w:numPr>
          <w:ilvl w:val="2"/>
          <w:numId w:val="1"/>
        </w:numPr>
      </w:pPr>
      <w:bookmarkStart w:id="19" w:name="CadEE_Target_19"/>
      <w:r>
        <w:t xml:space="preserve">Оскільки: </w:t>
      </w:r>
      <w:bookmarkEnd w:id="19"/>
    </w:p>
    <w:p>
      <w:pPr>
        <w:pStyle w:val="CadEEEquationStyle"/>
      </w:pPr>
      <m:oMathPara>
        <m:oMath>
          <m:sSub>
            <m:e>
              <m:r>
                <m:rPr>
                  <m:sty m:val="i"/>
                </m:rPr>
                <m:t>R</m:t>
              </m:r>
            </m:e>
            <m:sub>
              <m:r>
                <m:t>Σпр</m:t>
              </m:r>
            </m:sub>
          </m:sSub>
          <m:r>
            <m:t>=</m:t>
          </m:r>
          <m:r>
            <m:t>4.27</m:t>
          </m:r>
          <m:f>
            <m:num>
              <m:sSup>
                <m:e>
                  <m:r>
                    <m:t>м</m:t>
                  </m:r>
                </m:e>
                <m:sup>
                  <m:r>
                    <m:t>2</m:t>
                  </m:r>
                </m:sup>
              </m:sSup>
              <m:r>
                <m:t>·</m:t>
              </m:r>
              <m:r>
                <m:rPr>
                  <m:sty m:val="i"/>
                </m:rPr>
                <m:t>K</m:t>
              </m:r>
            </m:num>
            <m:den>
              <m:r>
                <m:t>Вт</m:t>
              </m:r>
            </m:den>
          </m:f>
          <m:r>
            <m:t xml:space="preserve"> </m:t>
          </m:r>
          <m:r>
            <m:t>&gt;</m:t>
          </m:r>
          <m:r>
            <m:t xml:space="preserve"> </m:t>
          </m:r>
          <m:sSub>
            <m:e>
              <m:r>
                <m:rPr>
                  <m:sty m:val="i"/>
                </m:rPr>
                <m:t>R</m:t>
              </m:r>
            </m:e>
            <m:sub>
              <m:r>
                <m:rPr>
                  <m:sty m:val="i"/>
                </m:rPr>
                <m:t>qmin</m:t>
              </m:r>
            </m:sub>
          </m:sSub>
          <m:r>
            <m:t>=</m:t>
          </m:r>
          <m:r>
            <m:t>4</m:t>
          </m:r>
          <m:f>
            <m:num>
              <m:sSup>
                <m:e>
                  <m:r>
                    <m:t>м</m:t>
                  </m:r>
                </m:e>
                <m:sup>
                  <m:r>
                    <m:t>2</m:t>
                  </m:r>
                </m:sup>
              </m:sSup>
              <m:r>
                <m:t>·</m:t>
              </m:r>
              <m:r>
                <m:rPr>
                  <m:sty m:val="i"/>
                </m:rPr>
                <m:t>K</m:t>
              </m:r>
            </m:num>
            <m:den>
              <m:r>
                <m:t>Вт</m:t>
              </m:r>
            </m:den>
          </m:f>
        </m:oMath>
      </m:oMathPara>
    </w:p>
    <w:p>
      <w:pPr>
        <w:pStyle w:val="CadEENormalText"/>
      </w:pPr>
      <w:r>
        <w:t xml:space="preserve">то умова (4) ДБН В.2.6-31:2021 виконується.</w:t>
      </w:r>
    </w:p>
    <w:sectPr>
      <w:footerReference w:type="first" r:id="rId5"/>
      <w:footerReference w:type="default" r:id="rId6"/>
      <w:titlePg/>
      <w:pgSz w:w="11906" w:h="16838"/>
      <w:pgMar w:top="454" w:right="323" w:bottom="1134" w:left="1247" w:header="709" w:footer="709"/>
    </w:sectPr>
  </w:body>
</w:document>
</file>

<file path=word/footer1.xml><?xml version="1.0" encoding="utf-8"?>
<w:ftr xmlns:w="http://schemas.openxmlformats.org/wordprocessingml/2006/main" xmlns:r="http://schemas.openxmlformats.org/officeDocument/2006/relationships" xmlns:v="urn:schemas-microsoft-com:vml" xmlns:o="urn:schemas-microsoft-com:office:office">
  <w:p/>
  <w:p/>
  <w:p/>
  <w:p/>
  <w:p/>
  <w:p>
    <w:r>
      <w:pict>
        <v:shapetype id="_x0000_t202" coordsize="21600,21600" o:spt="202" path="m,l,21600r21600,l21600,xe">
          <v:stroke joinstyle="miter"/>
          <v:path gradientshapeok="t" o:connecttype="rect"/>
        </v:shapetype>
        <v:rect id="stamp_page_frame_large" style="position:absolute;left:20mm;top:5mm;width:185mm;height:232mm;z-index:0;mso-position-horizontal-relative:page;mso-position-vertical-relative:page;mso-wrap-style:none" filled="f" stroked="t" strokecolor="#000000" strokeweight="0.5pt"/>
        <v:rect id="stamp_body_guard_large" style="position:absolute;left:20mm;top:237mm;width:185mm;height:55mm;z-index:0;mso-position-horizontal-relative:page;mso-position-vertical-relative:page;mso-wrap-style:square" filled="f" stroked="f"/>
        <v:rect id="stamp_box_main_stamp_outer" style="position:absolute;left:20mm;top:237mm;width:185mm;height:55mm;z-index:1;mso-position-horizontal-relative:page;mso-position-vertical-relative:page;mso-wrap-style:none" filled="f" stroked="t" strokecolor="#000000" strokeweight="0.5pt"/>
        <v:rect id="stamp_box_main_revision_outer" style="position:absolute;left:20mm;top:237mm;width:65mm;height:55mm;z-index:1;mso-position-horizontal-relative:page;mso-position-vertical-relative:page;mso-wrap-style:none" filled="f" stroked="t" strokecolor="#000000" strokeweight="0.5pt"/>
        <v:rect id="stamp_box_main_revision_row_1_box" style="position:absolute;left:20mm;top:237mm;width:65mm;height:5mm;z-index:1;mso-position-horizontal-relative:page;mso-position-vertical-relative:page;mso-wrap-style:none" filled="f" stroked="t" strokecolor="#000000" strokeweight="0.5pt"/>
        <v:rect id="stamp_box_main_revision_row_3_box" style="position:absolute;left:20mm;top:247mm;width:65mm;height:5mm;z-index:1;mso-position-horizontal-relative:page;mso-position-vertical-relative:page;mso-wrap-style:none" filled="f" stroked="t" strokecolor="#000000" strokeweight="0.5pt"/>
        <v:rect id="stamp_box_main_revision_header_box" style="position:absolute;left:20mm;top:257mm;width:65mm;height:5mm;z-index:1;mso-position-horizontal-relative:page;mso-position-vertical-relative:page;mso-wrap-style:none" filled="f" stroked="t" strokecolor="#000000" strokeweight="0.5pt"/>
        <v:rect id="stamp_box_main_developer_row_box" style="position:absolute;left:20mm;top:267mm;width:65mm;height:5mm;z-index:1;mso-position-horizontal-relative:page;mso-position-vertical-relative:page;mso-wrap-style:none" filled="f" stroked="t" strokecolor="#000000" strokeweight="0.5pt"/>
        <v:rect id="stamp_box_main_revision_row_9_box" style="position:absolute;left:20mm;top:277mm;width:65mm;height:5mm;z-index:1;mso-position-horizontal-relative:page;mso-position-vertical-relative:page;mso-wrap-style:none" filled="f" stroked="t" strokecolor="#000000" strokeweight="0.5pt"/>
        <v:rect id="stamp_box_main_revision_row_11_box" style="position:absolute;left:20mm;top:287mm;width:65mm;height:5mm;z-index:1;mso-position-horizontal-relative:page;mso-position-vertical-relative:page;mso-wrap-style:none" filled="f" stroked="t" strokecolor="#000000" strokeweight="0.5pt"/>
        <v:rect id="stamp_box_main_revision_count_column_box" style="position:absolute;left:30mm;top:237mm;width:10mm;height:25mm;z-index:1;mso-position-horizontal-relative:page;mso-position-vertical-relative:page;mso-wrap-style:none" filled="f" stroked="t" strokecolor="#000000" strokeweight="0.5pt"/>
        <v:rect id="stamp_box_main_revision_doc_column_box" style="position:absolute;left:50mm;top:237mm;width:10mm;height:25mm;z-index:1;mso-position-horizontal-relative:page;mso-position-vertical-relative:page;mso-wrap-style:none" filled="f" stroked="t" strokecolor="#000000" strokeweight="0.5pt"/>
        <v:rect id="stamp_box_main_revision_date_column_box" style="position:absolute;left:75mm;top:237mm;width:10mm;height:55mm;z-index:1;mso-position-horizontal-relative:page;mso-position-vertical-relative:page;mso-wrap-style:none" filled="f" stroked="t" strokecolor="#000000" strokeweight="0.5pt"/>
        <v:rect id="stamp_box_main_revision_name_column_box" style="position:absolute;left:40mm;top:262mm;width:20mm;height:30mm;z-index:1;mso-position-horizontal-relative:page;mso-position-vertical-relative:page;mso-wrap-style:none" filled="f" stroked="t" strokecolor="#000000" strokeweight="0.5pt"/>
        <v:rect id="stamp_box_main_title_stage_block_box" style="position:absolute;left:85mm;top:262mm;width:120mm;height:15mm;z-index:1;mso-position-horizontal-relative:page;mso-position-vertical-relative:page;mso-wrap-style:none" filled="f" stroked="t" strokecolor="#000000" strokeweight="0.5pt"/>
        <v:rect id="stamp_box_main_stage_pages_block_box" style="position:absolute;left:155mm;top:262mm;width:50mm;height:30mm;z-index:1;mso-position-horizontal-relative:page;mso-position-vertical-relative:page;mso-wrap-style:none" filled="f" stroked="t" strokecolor="#000000" strokeweight="0.5pt"/>
        <v:rect id="stamp_box_main_stage_pages_header_box" style="position:absolute;left:155mm;top:262mm;width:50mm;height:5mm;z-index:1;mso-position-horizontal-relative:page;mso-position-vertical-relative:page;mso-wrap-style:none" filled="f" stroked="t" strokecolor="#000000" strokeweight="0.5pt"/>
        <v:rect id="stamp_box_main_page_number_column_box" style="position:absolute;left:170mm;top:262mm;width:20mm;height:15mm;z-index:1;mso-position-horizontal-relative:page;mso-position-vertical-relative:page;mso-wrap-style:none" filled="f" stroked="t" strokecolor="#000000" strokeweight="0.5pt"/>
        <v:rect id="stamp_box_main_c7" style="position:absolute;left:20mm;top:237mm;width:10mm;height:5mm;z-index:1;mso-position-horizontal-relative:page;mso-position-vertical-relative:page;mso-wrap-style:none" filled="f" stroked="t" strokecolor="#000000" strokeweight="0.5pt"/>
        <v:rect id="stamp_box_main_c8" style="position:absolute;left:30mm;top:237mm;width:10mm;height:5mm;z-index:1;mso-position-horizontal-relative:page;mso-position-vertical-relative:page;mso-wrap-style:none" filled="f" stroked="t" strokecolor="#000000" strokeweight="0.5pt"/>
        <v:rect id="stamp_box_main_c9" style="position:absolute;left:40mm;top:237mm;width:10mm;height:5mm;z-index:1;mso-position-horizontal-relative:page;mso-position-vertical-relative:page;mso-wrap-style:none" filled="f" stroked="t" strokecolor="#000000" strokeweight="0.5pt"/>
        <v:rect id="stamp_box_main_c10" style="position:absolute;left:50mm;top:237mm;width:10mm;height:5mm;z-index:1;mso-position-horizontal-relative:page;mso-position-vertical-relative:page;mso-wrap-style:none" filled="f" stroked="t" strokecolor="#000000" strokeweight="0.5pt"/>
        <v:rect id="stamp_box_main_c11" style="position:absolute;left:20mm;top:242mm;width:10mm;height:5mm;z-index:1;mso-position-horizontal-relative:page;mso-position-vertical-relative:page;mso-wrap-style:none" filled="f" stroked="t" strokecolor="#000000" strokeweight="0.5pt"/>
        <v:rect id="stamp_box_main_c12" style="position:absolute;left:30mm;top:242mm;width:10mm;height:5mm;z-index:1;mso-position-horizontal-relative:page;mso-position-vertical-relative:page;mso-wrap-style:none" filled="f" stroked="t" strokecolor="#000000" strokeweight="0.5pt"/>
        <v:rect id="stamp_box_main_c13" style="position:absolute;left:40mm;top:242mm;width:10mm;height:5mm;z-index:1;mso-position-horizontal-relative:page;mso-position-vertical-relative:page;mso-wrap-style:none" filled="f" stroked="t" strokecolor="#000000" strokeweight="0.5pt"/>
        <v:rect id="stamp_box_main_c14" style="position:absolute;left:50mm;top:242mm;width:10mm;height:5mm;z-index:1;mso-position-horizontal-relative:page;mso-position-vertical-relative:page;mso-wrap-style:none" filled="f" stroked="t" strokecolor="#000000" strokeweight="0.5pt"/>
        <v:rect id="stamp_box_main_c15" style="position:absolute;left:20mm;top:247mm;width:10mm;height:5mm;z-index:1;mso-position-horizontal-relative:page;mso-position-vertical-relative:page;mso-wrap-style:none" filled="f" stroked="t" strokecolor="#000000" strokeweight="0.5pt"/>
        <v:rect id="stamp_box_main_c16" style="position:absolute;left:30mm;top:247mm;width:10mm;height:5mm;z-index:1;mso-position-horizontal-relative:page;mso-position-vertical-relative:page;mso-wrap-style:none" filled="f" stroked="t" strokecolor="#000000" strokeweight="0.5pt"/>
        <v:rect id="stamp_box_main_c17" style="position:absolute;left:40mm;top:247mm;width:10mm;height:5mm;z-index:1;mso-position-horizontal-relative:page;mso-position-vertical-relative:page;mso-wrap-style:none" filled="f" stroked="t" strokecolor="#000000" strokeweight="0.5pt"/>
        <v:rect id="stamp_box_main_c18" style="position:absolute;left:50mm;top:247mm;width:10mm;height:5mm;z-index:1;mso-position-horizontal-relative:page;mso-position-vertical-relative:page;mso-wrap-style:none" filled="f" stroked="t" strokecolor="#000000" strokeweight="0.5pt"/>
        <v:rect id="stamp_box_main_c19" style="position:absolute;left:20mm;top:252mm;width:10mm;height:5mm;z-index:1;mso-position-horizontal-relative:page;mso-position-vertical-relative:page;mso-wrap-style:none" filled="f" stroked="t" strokecolor="#000000" strokeweight="0.5pt"/>
        <v:rect id="stamp_box_main_c20" style="position:absolute;left:30mm;top:252mm;width:10mm;height:5mm;z-index:1;mso-position-horizontal-relative:page;mso-position-vertical-relative:page;mso-wrap-style:none" filled="f" stroked="t" strokecolor="#000000" strokeweight="0.5pt"/>
        <v:rect id="stamp_box_main_c21" style="position:absolute;left:40mm;top:252mm;width:10mm;height:5mm;z-index:1;mso-position-horizontal-relative:page;mso-position-vertical-relative:page;mso-wrap-style:none" filled="f" stroked="t" strokecolor="#000000" strokeweight="0.5pt"/>
        <v:rect id="stamp_box_main_c22" style="position:absolute;left:50mm;top:252mm;width:10mm;height:5mm;z-index:1;mso-position-horizontal-relative:page;mso-position-vertical-relative:page;mso-wrap-style:none" filled="f" stroked="t" strokecolor="#000000" strokeweight="0.5pt"/>
        <v:rect id="stamp_box_main_revision_1_signature" style="position:absolute;left:60mm;top:237mm;width:15mm;height:5mm;z-index:1;mso-position-horizontal-relative:page;mso-position-vertical-relative:page;mso-wrap-style:none" filled="f" stroked="t" strokecolor="#000000" strokeweight="0.5pt"/>
        <v:rect id="stamp_box_main_revision_1_date" style="position:absolute;left:75mm;top:237mm;width:10mm;height:5mm;z-index:1;mso-position-horizontal-relative:page;mso-position-vertical-relative:page;mso-wrap-style:none" filled="f" stroked="t" strokecolor="#000000" strokeweight="0.5pt"/>
        <v:rect id="stamp_box_main_revision_2_signature" style="position:absolute;left:60mm;top:242mm;width:15mm;height:5mm;z-index:1;mso-position-horizontal-relative:page;mso-position-vertical-relative:page;mso-wrap-style:none" filled="f" stroked="t" strokecolor="#000000" strokeweight="0.5pt"/>
        <v:rect id="stamp_box_main_revision_2_date" style="position:absolute;left:75mm;top:242mm;width:10mm;height:5mm;z-index:1;mso-position-horizontal-relative:page;mso-position-vertical-relative:page;mso-wrap-style:none" filled="f" stroked="t" strokecolor="#000000" strokeweight="0.5pt"/>
        <v:rect id="stamp_box_main_revision_3_signature" style="position:absolute;left:60mm;top:247mm;width:15mm;height:5mm;z-index:1;mso-position-horizontal-relative:page;mso-position-vertical-relative:page;mso-wrap-style:none" filled="f" stroked="t" strokecolor="#000000" strokeweight="0.5pt"/>
        <v:rect id="stamp_box_main_revision_3_date" style="position:absolute;left:75mm;top:247mm;width:10mm;height:5mm;z-index:1;mso-position-horizontal-relative:page;mso-position-vertical-relative:page;mso-wrap-style:none" filled="f" stroked="t" strokecolor="#000000" strokeweight="0.5pt"/>
        <v:rect id="stamp_box_main_revision_4_signature" style="position:absolute;left:60mm;top:252mm;width:15mm;height:5mm;z-index:1;mso-position-horizontal-relative:page;mso-position-vertical-relative:page;mso-wrap-style:none" filled="f" stroked="t" strokecolor="#000000" strokeweight="0.5pt"/>
        <v:rect id="stamp_box_main_revision_4_date" style="position:absolute;left:75mm;top:252mm;width:10mm;height:5mm;z-index:1;mso-position-horizontal-relative:page;mso-position-vertical-relative:page;mso-wrap-style:none" filled="f" stroked="t" strokecolor="#000000" strokeweight="0.5pt"/>
        <v:rect id="stamp_box_main_revision_label" style="position:absolute;left:20mm;top:257mm;width:10mm;height:5mm;z-index:1;mso-position-horizontal-relative:page;mso-position-vertical-relative:page;mso-wrap-style:none" filled="f" stroked="t" strokecolor="#000000" strokeweight="0.5pt"/>
        <v:rect id="stamp_box_main_count_label" style="position:absolute;left:30mm;top:257mm;width:10mm;height:5mm;z-index:1;mso-position-horizontal-relative:page;mso-position-vertical-relative:page;mso-wrap-style:none" filled="f" stroked="t" strokecolor="#000000" strokeweight="0.5pt"/>
        <v:rect id="stamp_box_main_sheet_label" style="position:absolute;left:40mm;top:257mm;width:10mm;height:5mm;z-index:1;mso-position-horizontal-relative:page;mso-position-vertical-relative:page;mso-wrap-style:none" filled="f" stroked="t" strokecolor="#000000" strokeweight="0.5pt"/>
        <v:rect id="stamp_box_main_doc_label" style="position:absolute;left:50mm;top:257mm;width:10mm;height:5mm;z-index:1;mso-position-horizontal-relative:page;mso-position-vertical-relative:page;mso-wrap-style:none" filled="f" stroked="t" strokecolor="#000000" strokeweight="0.5pt"/>
        <v:rect id="stamp_box_main_signature_label" style="position:absolute;left:60mm;top:257mm;width:15mm;height:5mm;z-index:1;mso-position-horizontal-relative:page;mso-position-vertical-relative:page;mso-wrap-style:none" filled="f" stroked="t" strokecolor="#000000" strokeweight="0.5pt"/>
        <v:rect id="stamp_box_main_date_label" style="position:absolute;left:75mm;top:257mm;width:10mm;height:5mm;z-index:1;mso-position-horizontal-relative:page;mso-position-vertical-relative:page;mso-wrap-style:none" filled="f" stroked="t" strokecolor="#000000" strokeweight="0.5pt"/>
        <v:rect id="stamp_box_main_developer_label" style="position:absolute;left:20mm;top:267mm;width:20mm;height:5mm;z-index:1;mso-position-horizontal-relative:page;mso-position-vertical-relative:page;mso-wrap-style:none" filled="f" stroked="t" strokecolor="#000000" strokeweight="0.5pt"/>
        <v:rect id="stamp_box_main_developer_name" style="position:absolute;left:40mm;top:267mm;width:20mm;height:5mm;z-index:1;mso-position-horizontal-relative:page;mso-position-vertical-relative:page;mso-wrap-style:none" filled="f" stroked="t" strokecolor="#000000" strokeweight="0.5pt"/>
        <v:rect id="stamp_box_main_developer_signature" style="position:absolute;left:60mm;top:267mm;width:15mm;height:5mm;z-index:1;mso-position-horizontal-relative:page;mso-position-vertical-relative:page;mso-wrap-style:none" filled="f" stroked="t" strokecolor="#000000" strokeweight="0.5pt"/>
        <v:rect id="stamp_box_main_developer_date" style="position:absolute;left:75mm;top:267mm;width:10mm;height:5mm;z-index:1;mso-position-horizontal-relative:page;mso-position-vertical-relative:page;mso-wrap-style:none" filled="f" stroked="t" strokecolor="#000000" strokeweight="0.5pt"/>
        <v:rect id="stamp_box_main_checker_label" style="position:absolute;left:20mm;top:272mm;width:20mm;height:5mm;z-index:1;mso-position-horizontal-relative:page;mso-position-vertical-relative:page;mso-wrap-style:none" filled="f" stroked="t" strokecolor="#000000" strokeweight="0.5pt"/>
        <v:rect id="stamp_box_main_checker_name" style="position:absolute;left:40mm;top:272mm;width:20mm;height:5mm;z-index:1;mso-position-horizontal-relative:page;mso-position-vertical-relative:page;mso-wrap-style:none" filled="f" stroked="t" strokecolor="#000000" strokeweight="0.5pt"/>
        <v:rect id="stamp_box_main_checker_signature" style="position:absolute;left:60mm;top:272mm;width:15mm;height:5mm;z-index:1;mso-position-horizontal-relative:page;mso-position-vertical-relative:page;mso-wrap-style:none" filled="f" stroked="t" strokecolor="#000000" strokeweight="0.5pt"/>
        <v:rect id="stamp_box_main_checker_date" style="position:absolute;left:75mm;top:272mm;width:10mm;height:5mm;z-index:1;mso-position-horizontal-relative:page;mso-position-vertical-relative:page;mso-wrap-style:none" filled="f" stroked="t" strokecolor="#000000" strokeweight="0.5pt"/>
        <v:rect id="stamp_box_main_approval_1_role" style="position:absolute;left:20mm;top:277mm;width:20mm;height:5mm;z-index:1;mso-position-horizontal-relative:page;mso-position-vertical-relative:page;mso-wrap-style:none" filled="f" stroked="t" strokecolor="#000000" strokeweight="0.5pt"/>
        <v:rect id="stamp_box_main_approval_1_name" style="position:absolute;left:40mm;top:277mm;width:20mm;height:5mm;z-index:1;mso-position-horizontal-relative:page;mso-position-vertical-relative:page;mso-wrap-style:none" filled="f" stroked="t" strokecolor="#000000" strokeweight="0.5pt"/>
        <v:rect id="stamp_box_main_approval_1_signature" style="position:absolute;left:60mm;top:277mm;width:15mm;height:5mm;z-index:1;mso-position-horizontal-relative:page;mso-position-vertical-relative:page;mso-wrap-style:none" filled="f" stroked="t" strokecolor="#000000" strokeweight="0.5pt"/>
        <v:rect id="stamp_box_main_approval_1_date" style="position:absolute;left:75mm;top:277mm;width:10mm;height:5mm;z-index:1;mso-position-horizontal-relative:page;mso-position-vertical-relative:page;mso-wrap-style:none" filled="f" stroked="t" strokecolor="#000000" strokeweight="0.5pt"/>
        <v:rect id="stamp_box_main_approval_2_role" style="position:absolute;left:20mm;top:282mm;width:20mm;height:5mm;z-index:1;mso-position-horizontal-relative:page;mso-position-vertical-relative:page;mso-wrap-style:none" filled="f" stroked="t" strokecolor="#000000" strokeweight="0.5pt"/>
        <v:rect id="stamp_box_main_approval_2_name" style="position:absolute;left:40mm;top:282mm;width:20mm;height:5mm;z-index:1;mso-position-horizontal-relative:page;mso-position-vertical-relative:page;mso-wrap-style:none" filled="f" stroked="t" strokecolor="#000000" strokeweight="0.5pt"/>
        <v:rect id="stamp_box_main_approval_2_signature" style="position:absolute;left:60mm;top:282mm;width:15mm;height:5mm;z-index:1;mso-position-horizontal-relative:page;mso-position-vertical-relative:page;mso-wrap-style:none" filled="f" stroked="t" strokecolor="#000000" strokeweight="0.5pt"/>
        <v:rect id="stamp_box_main_approval_2_date" style="position:absolute;left:75mm;top:282mm;width:10mm;height:5mm;z-index:1;mso-position-horizontal-relative:page;mso-position-vertical-relative:page;mso-wrap-style:none" filled="f" stroked="t" strokecolor="#000000" strokeweight="0.5pt"/>
        <v:rect id="stamp_box_main_approval_3_role" style="position:absolute;left:20mm;top:287mm;width:20mm;height:5mm;z-index:1;mso-position-horizontal-relative:page;mso-position-vertical-relative:page;mso-wrap-style:none" filled="f" stroked="t" strokecolor="#000000" strokeweight="0.5pt"/>
        <v:rect id="stamp_box_main_approval_3_name" style="position:absolute;left:40mm;top:287mm;width:20mm;height:5mm;z-index:1;mso-position-horizontal-relative:page;mso-position-vertical-relative:page;mso-wrap-style:none" filled="f" stroked="t" strokecolor="#000000" strokeweight="0.5pt"/>
        <v:rect id="stamp_box_main_approval_3_signature" style="position:absolute;left:60mm;top:287mm;width:15mm;height:5mm;z-index:1;mso-position-horizontal-relative:page;mso-position-vertical-relative:page;mso-wrap-style:none" filled="f" stroked="t" strokecolor="#000000" strokeweight="0.5pt"/>
        <v:rect id="stamp_box_main_approval_3_date" style="position:absolute;left:75mm;top:287mm;width:10mm;height:5mm;z-index:1;mso-position-horizontal-relative:page;mso-position-vertical-relative:page;mso-wrap-style:none" filled="f" stroked="t" strokecolor="#000000" strokeweight="0.5pt"/>
        <v:rect id="stamp_box_main_document_code" style="position:absolute;left:85mm;top:237mm;width:120mm;height:10mm;z-index:1;mso-position-horizontal-relative:page;mso-position-vertical-relative:page;mso-wrap-style:none" filled="f" stroked="t" strokecolor="#000000" strokeweight="0.5pt"/>
        <v:rect id="stamp_box_main_project_name" style="position:absolute;left:85mm;top:247mm;width:120mm;height:15mm;z-index:1;mso-position-horizontal-relative:page;mso-position-vertical-relative:page;mso-wrap-style:none" filled="f" stroked="t" strokecolor="#000000" strokeweight="0.5pt"/>
        <v:rect id="stamp_box_main_document_title" style="position:absolute;left:85mm;top:262mm;width:70mm;height:15mm;z-index:1;mso-position-horizontal-relative:page;mso-position-vertical-relative:page;mso-wrap-style:none" filled="f" stroked="t" strokecolor="#000000" strokeweight="0.5pt"/>
        <v:rect id="stamp_box_main_title_extra" style="position:absolute;left:85mm;top:277mm;width:70mm;height:15mm;z-index:1;mso-position-horizontal-relative:page;mso-position-vertical-relative:page;mso-wrap-style:none" filled="f" stroked="t" strokecolor="#000000" strokeweight="0.5pt"/>
        <v:rect id="stamp_box_main_company_mark" style="position:absolute;left:155mm;top:277mm;width:50mm;height:15mm;z-index:1;mso-position-horizontal-relative:page;mso-position-vertical-relative:page;mso-wrap-style:none" filled="f" stroked="t" strokecolor="#000000" strokeweight="0.5pt"/>
        <v:rect id="stamp_box_main_stage_label" style="position:absolute;left:155mm;top:262mm;width:15mm;height:5mm;z-index:1;mso-position-horizontal-relative:page;mso-position-vertical-relative:page;mso-wrap-style:none" filled="f" stroked="t" strokecolor="#000000" strokeweight="0.5pt"/>
        <v:rect id="stamp_box_main_page_number_label" style="position:absolute;left:170mm;top:262mm;width:20mm;height:5mm;z-index:1;mso-position-horizontal-relative:page;mso-position-vertical-relative:page;mso-wrap-style:none" filled="f" stroked="t" strokecolor="#000000" strokeweight="0.5pt"/>
        <v:rect id="stamp_box_main_page_count_label" style="position:absolute;left:190mm;top:262mm;width:15mm;height:5mm;z-index:1;mso-position-horizontal-relative:page;mso-position-vertical-relative:page;mso-wrap-style:none" filled="f" stroked="t" strokecolor="#000000" strokeweight="0.5pt"/>
        <v:rect id="stamp_box_main_stage" style="position:absolute;left:155mm;top:267mm;width:15mm;height:10mm;z-index:1;mso-position-horizontal-relative:page;mso-position-vertical-relative:page;mso-wrap-style:none" filled="f" stroked="t" strokecolor="#000000" strokeweight="0.5pt"/>
        <v:rect id="stamp_box_main_page_number" style="position:absolute;left:170mm;top:267mm;width:20mm;height:10mm;z-index:1;mso-position-horizontal-relative:page;mso-position-vertical-relative:page;mso-wrap-style:none" filled="f" stroked="t" strokecolor="#000000" strokeweight="0.5pt"/>
        <v:rect id="stamp_box_main_page_count" style="position:absolute;left:190mm;top:267mm;width:15mm;height:10mm;z-index:1;mso-position-horizontal-relative:page;mso-position-vertical-relative:page;mso-wrap-style:none" filled="f" stroked="t" strokecolor="#000000" strokeweight="0.5pt"/>
        <v:shape id="stamp_text_main_revision_label" type="#_x0000_t202" style="position:absolute;left:2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Зм.</w:t>
                </w:r>
              </w:p>
            </w:txbxContent>
          </v:textbox>
        </v:shape>
        <v:shape id="stamp_text_main_count_label" type="#_x0000_t202" style="position:absolute;left:3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Кільк.</w:t>
                </w:r>
              </w:p>
            </w:txbxContent>
          </v:textbox>
        </v:shape>
        <v:shape id="stamp_text_main_sheet_label" type="#_x0000_t202" style="position:absolute;left:4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Арк.</w:t>
                </w:r>
              </w:p>
            </w:txbxContent>
          </v:textbox>
        </v:shape>
        <v:shape id="stamp_text_main_doc_label" type="#_x0000_t202" style="position:absolute;left:50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№Док.</w:t>
                </w:r>
              </w:p>
            </w:txbxContent>
          </v:textbox>
        </v:shape>
        <v:shape id="stamp_text_main_signature_label" type="#_x0000_t202" style="position:absolute;left:60mm;top:257mm;width:15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Підпис</w:t>
                </w:r>
              </w:p>
            </w:txbxContent>
          </v:textbox>
        </v:shape>
        <v:shape id="stamp_text_main_date_label" type="#_x0000_t202" style="position:absolute;left:75mm;top:25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Дата</w:t>
                </w:r>
              </w:p>
            </w:txbxContent>
          </v:textbox>
        </v:shape>
        <v:shape id="stamp_text_main_developer_label" type="#_x0000_t202" style="position:absolute;left:20mm;top:267mm;width:2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Розробив</w:t>
                </w:r>
              </w:p>
            </w:txbxContent>
          </v:textbox>
        </v:shape>
        <v:shape id="stamp_text_main_checker_label" type="#_x0000_t202" style="position:absolute;left:20mm;top:272mm;width:2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Перевірив</w:t>
                </w:r>
              </w:p>
            </w:txbxContent>
          </v:textbox>
        </v:shape>
        <v:shape id="stamp_text_main_project_name" type="#_x0000_t202" style="position:absolute;left:85mm;top:247mm;width:120mm;height:15mm;z-index:2;mso-position-horizontal-relative:page;mso-position-vertical-relative:page;mso-wrap-style:square;v-text-anchor:middle" filled="f" stroked="f">
          <v:textbox inset="1pt,0pt,1pt,0pt">
            <w:txbxContent>
              <w:p>
                <w:pPr>
                  <w:jc w:val="left"/>
                </w:pPr>
                <w:r>
                  <w:rPr>
                    <w:rFonts w:ascii="Arial" w:hAnsi="Arial"/>
                    <w:sz w:val="20"/>
                    <w:w w:val="100"/>
                  </w:rPr>
                  <w:t xml:space="preserve">Приклад розрахунку опору теплопередачі</w:t>
                </w:r>
              </w:p>
            </w:txbxContent>
          </v:textbox>
        </v:shape>
        <v:shape id="stamp_text_main_stage_label" type="#_x0000_t202" style="position:absolute;left:155mm;top:262mm;width:15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Стадія</w:t>
                </w:r>
              </w:p>
            </w:txbxContent>
          </v:textbox>
        </v:shape>
        <v:shape id="stamp_text_main_page_number_label" type="#_x0000_t202" style="position:absolute;left:170mm;top:262mm;width:20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Аркуш</w:t>
                </w:r>
              </w:p>
            </w:txbxContent>
          </v:textbox>
        </v:shape>
        <v:shape id="stamp_text_main_page_count_label" type="#_x0000_t202" style="position:absolute;left:190mm;top:262mm;width:15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Аркушів</w:t>
                </w:r>
              </w:p>
            </w:txbxContent>
          </v:textbox>
        </v:shape>
        <v:shape id="stamp_text_main_page_number" type="#_x0000_t202" style="position:absolute;left:170mm;top:267mm;width:20mm;height:10mm;z-index:2;mso-position-horizontal-relative:page;mso-position-vertical-relative:page;mso-wrap-style:square;v-text-anchor:middle" filled="f" stroked="f">
          <v:textbox inset="0pt,0pt,0pt,0pt">
            <w:txbxContent>
              <w:p>
                <w:pPr>
                  <w:jc w:val="center"/>
                </w:pPr>
                <w:fldSimple w:instr=" PAGE ">
                  <w:r>
                    <w:rPr>
                      <w:rFonts w:ascii="Arial" w:hAnsi="Arial"/>
                      <w:sz w:val="20"/>
                      <w:w w:val="100"/>
                    </w:rPr>
                    <w:t xml:space="preserve">1</w:t>
                  </w:r>
                </w:fldSimple>
              </w:p>
            </w:txbxContent>
          </v:textbox>
        </v:shape>
        <v:shape id="stamp_text_main_page_count" type="#_x0000_t202" style="position:absolute;left:190mm;top:267mm;width:15mm;height:10mm;z-index:2;mso-position-horizontal-relative:page;mso-position-vertical-relative:page;mso-wrap-style:square;v-text-anchor:middle" filled="f" stroked="f">
          <v:textbox inset="0pt,0pt,0pt,0pt">
            <w:txbxContent>
              <w:p>
                <w:pPr>
                  <w:jc w:val="center"/>
                </w:pPr>
                <w:fldSimple w:instr=" NUMPAGES ">
                  <w:r>
                    <w:rPr>
                      <w:rFonts w:ascii="Arial" w:hAnsi="Arial"/>
                      <w:sz w:val="20"/>
                      <w:w w:val="100"/>
                    </w:rPr>
                    <w:t xml:space="preserve">1</w:t>
                  </w:r>
                </w:fldSimple>
              </w:p>
            </w:txbxContent>
          </v:textbox>
        </v:shape>
      </w:pict>
    </w:r>
  </w:p>
</w:ftr>
</file>

<file path=word/footer2.xml><?xml version="1.0" encoding="utf-8"?>
<w:ftr xmlns:w="http://schemas.openxmlformats.org/wordprocessingml/2006/main" xmlns:r="http://schemas.openxmlformats.org/officeDocument/2006/relationships" xmlns:v="urn:schemas-microsoft-com:vml" xmlns:o="urn:schemas-microsoft-com:office:office">
  <w:p>
    <w:r>
      <w:pict>
        <v:shapetype id="_x0000_t202" coordsize="21600,21600" o:spt="202" path="m,l,21600r21600,l21600,xe">
          <v:stroke joinstyle="miter"/>
          <v:path gradientshapeok="t" o:connecttype="rect"/>
        </v:shapetype>
        <v:rect id="stamp_page_frame_small" style="position:absolute;left:20mm;top:5mm;width:185mm;height:272mm;z-index:0;mso-position-horizontal-relative:page;mso-position-vertical-relative:page;mso-wrap-style:none" filled="f" stroked="t" strokecolor="#000000" strokeweight="0.5pt"/>
        <v:rect id="stamp_body_guard_small" style="position:absolute;left:20mm;top:277mm;width:185mm;height:15mm;z-index:0;mso-position-horizontal-relative:page;mso-position-vertical-relative:page;mso-wrap-style:square" filled="f" stroked="f"/>
        <v:rect id="stamp_box_mini_stamp_outer" style="position:absolute;left:20mm;top:277mm;width:185mm;height:15mm;z-index:1;mso-position-horizontal-relative:page;mso-position-vertical-relative:page;mso-wrap-style:none" filled="f" stroked="t" strokecolor="#000000" strokeweight="0.5pt"/>
        <v:rect id="stamp_box_mini_revision_outer" style="position:absolute;left:20mm;top:277mm;width:65mm;height:15mm;z-index:1;mso-position-horizontal-relative:page;mso-position-vertical-relative:page;mso-wrap-style:none" filled="f" stroked="t" strokecolor="#000000" strokeweight="0.5pt"/>
        <v:rect id="stamp_box_mini_revision_row_1_box" style="position:absolute;left:20mm;top:277mm;width:65mm;height:5mm;z-index:1;mso-position-horizontal-relative:page;mso-position-vertical-relative:page;mso-wrap-style:none" filled="f" stroked="t" strokecolor="#000000" strokeweight="0.5pt"/>
        <v:rect id="stamp_box_mini_revision_row_3_box" style="position:absolute;left:20mm;top:287mm;width:65mm;height:5mm;z-index:1;mso-position-horizontal-relative:page;mso-position-vertical-relative:page;mso-wrap-style:none" filled="f" stroked="t" strokecolor="#000000" strokeweight="0.5pt"/>
        <v:rect id="stamp_box_mini_revision_count_column_box" style="position:absolute;left:30mm;top:277mm;width:10mm;height:15mm;z-index:1;mso-position-horizontal-relative:page;mso-position-vertical-relative:page;mso-wrap-style:none" filled="f" stroked="t" strokecolor="#000000" strokeweight="0.5pt"/>
        <v:rect id="stamp_box_mini_revision_doc_column_box" style="position:absolute;left:50mm;top:277mm;width:10mm;height:15mm;z-index:1;mso-position-horizontal-relative:page;mso-position-vertical-relative:page;mso-wrap-style:none" filled="f" stroked="t" strokecolor="#000000" strokeweight="0.5pt"/>
        <v:rect id="stamp_box_mini_revision_date_column_box" style="position:absolute;left:75mm;top:277mm;width:10mm;height:15mm;z-index:1;mso-position-horizontal-relative:page;mso-position-vertical-relative:page;mso-wrap-style:none" filled="f" stroked="t" strokecolor="#000000" strokeweight="0.5pt"/>
        <v:rect id="stamp_box_mini_document_code" style="position:absolute;left:85mm;top:277mm;width:110mm;height:15mm;z-index:1;mso-position-horizontal-relative:page;mso-position-vertical-relative:page;mso-wrap-style:none" filled="f" stroked="t" strokecolor="#000000" strokeweight="0.5pt"/>
        <v:rect id="stamp_box_mini_page_number_label" style="position:absolute;left:195mm;top:277mm;width:10mm;height:5mm;z-index:1;mso-position-horizontal-relative:page;mso-position-vertical-relative:page;mso-wrap-style:none" filled="f" stroked="t" strokecolor="#000000" strokeweight="0.5pt"/>
        <v:rect id="stamp_box_mini_page_number" style="position:absolute;left:195mm;top:282mm;width:10mm;height:10mm;z-index:1;mso-position-horizontal-relative:page;mso-position-vertical-relative:page;mso-wrap-style:none" filled="f" stroked="t" strokecolor="#000000" strokeweight="0.5pt"/>
        <v:rect id="stamp_box_mini_revision_change" style="position:absolute;left:20mm;top:277mm;width:10mm;height:5mm;z-index:1;mso-position-horizontal-relative:page;mso-position-vertical-relative:page;mso-wrap-style:none" filled="f" stroked="t" strokecolor="#000000" strokeweight="0.5pt"/>
        <v:rect id="stamp_box_mini_revision_count" style="position:absolute;left:30mm;top:277mm;width:10mm;height:5mm;z-index:1;mso-position-horizontal-relative:page;mso-position-vertical-relative:page;mso-wrap-style:none" filled="f" stroked="t" strokecolor="#000000" strokeweight="0.5pt"/>
        <v:rect id="stamp_box_mini_revision_sheet" style="position:absolute;left:40mm;top:277mm;width:10mm;height:5mm;z-index:1;mso-position-horizontal-relative:page;mso-position-vertical-relative:page;mso-wrap-style:none" filled="f" stroked="t" strokecolor="#000000" strokeweight="0.5pt"/>
        <v:rect id="stamp_box_mini_revision_doc" style="position:absolute;left:50mm;top:277mm;width:10mm;height:5mm;z-index:1;mso-position-horizontal-relative:page;mso-position-vertical-relative:page;mso-wrap-style:none" filled="f" stroked="t" strokecolor="#000000" strokeweight="0.5pt"/>
        <v:rect id="stamp_box_mini_revision_signature" style="position:absolute;left:60mm;top:277mm;width:15mm;height:5mm;z-index:1;mso-position-horizontal-relative:page;mso-position-vertical-relative:page;mso-wrap-style:none" filled="f" stroked="t" strokecolor="#000000" strokeweight="0.5pt"/>
        <v:rect id="stamp_box_mini_revision_date" style="position:absolute;left:75mm;top:277mm;width:10mm;height:5mm;z-index:1;mso-position-horizontal-relative:page;mso-position-vertical-relative:page;mso-wrap-style:none" filled="f" stroked="t" strokecolor="#000000" strokeweight="0.5pt"/>
        <v:rect id="stamp_box_mini_revision_label" style="position:absolute;left:20mm;top:287mm;width:10mm;height:5mm;z-index:1;mso-position-horizontal-relative:page;mso-position-vertical-relative:page;mso-wrap-style:none" filled="f" stroked="t" strokecolor="#000000" strokeweight="0.5pt"/>
        <v:rect id="stamp_box_mini_count_label" style="position:absolute;left:30mm;top:287mm;width:10mm;height:5mm;z-index:1;mso-position-horizontal-relative:page;mso-position-vertical-relative:page;mso-wrap-style:none" filled="f" stroked="t" strokecolor="#000000" strokeweight="0.5pt"/>
        <v:rect id="stamp_box_mini_sheet_label" style="position:absolute;left:40mm;top:287mm;width:10mm;height:5mm;z-index:1;mso-position-horizontal-relative:page;mso-position-vertical-relative:page;mso-wrap-style:none" filled="f" stroked="t" strokecolor="#000000" strokeweight="0.5pt"/>
        <v:rect id="stamp_box_mini_doc_label" style="position:absolute;left:50mm;top:287mm;width:10mm;height:5mm;z-index:1;mso-position-horizontal-relative:page;mso-position-vertical-relative:page;mso-wrap-style:none" filled="f" stroked="t" strokecolor="#000000" strokeweight="0.5pt"/>
        <v:rect id="stamp_box_mini_signature_label" style="position:absolute;left:60mm;top:287mm;width:15mm;height:5mm;z-index:1;mso-position-horizontal-relative:page;mso-position-vertical-relative:page;mso-wrap-style:none" filled="f" stroked="t" strokecolor="#000000" strokeweight="0.5pt"/>
        <v:rect id="stamp_box_mini_date_label" style="position:absolute;left:75mm;top:287mm;width:10mm;height:5mm;z-index:1;mso-position-horizontal-relative:page;mso-position-vertical-relative:page;mso-wrap-style:none" filled="f" stroked="t" strokecolor="#000000" strokeweight="0.5pt"/>
        <v:shape id="stamp_text_mini_page_number_label" type="#_x0000_t202" style="position:absolute;left:195mm;top:277mm;width:10mm;height:5mm;z-index:2;mso-position-horizontal-relative:page;mso-position-vertical-relative:page;mso-wrap-style:square;v-text-anchor:middle" filled="f" stroked="f">
          <v:textbox inset="1pt,0pt,1pt,0pt">
            <w:txbxContent>
              <w:p>
                <w:pPr>
                  <w:jc w:val="center"/>
                </w:pPr>
                <w:r>
                  <w:rPr>
                    <w:rFonts w:ascii="Arial" w:hAnsi="Arial"/>
                    <w:sz w:val="16"/>
                    <w:w w:val="100"/>
                  </w:rPr>
                  <w:t xml:space="preserve">Арк.</w:t>
                </w:r>
              </w:p>
            </w:txbxContent>
          </v:textbox>
        </v:shape>
        <v:shape id="stamp_text_mini_page_number" type="#_x0000_t202" style="position:absolute;left:195mm;top:282mm;width:10mm;height:10mm;z-index:2;mso-position-horizontal-relative:page;mso-position-vertical-relative:page;mso-wrap-style:square;v-text-anchor:middle" filled="f" stroked="f">
          <v:textbox inset="0pt,0pt,0pt,0pt">
            <w:txbxContent>
              <w:p>
                <w:pPr>
                  <w:jc w:val="center"/>
                </w:pPr>
                <w:fldSimple w:instr=" PAGE ">
                  <w:r>
                    <w:rPr>
                      <w:rFonts w:ascii="Arial" w:hAnsi="Arial"/>
                      <w:sz w:val="20"/>
                      <w:w w:val="100"/>
                    </w:rPr>
                    <w:t xml:space="preserve">1</w:t>
                  </w:r>
                </w:fldSimple>
              </w:p>
            </w:txbxContent>
          </v:textbox>
        </v:shape>
        <v:shape id="stamp_text_mini_revision_label" type="#_x0000_t202" style="position:absolute;left:2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Зм.</w:t>
                </w:r>
              </w:p>
            </w:txbxContent>
          </v:textbox>
        </v:shape>
        <v:shape id="stamp_text_mini_count_label" type="#_x0000_t202" style="position:absolute;left:3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Кільк.</w:t>
                </w:r>
              </w:p>
            </w:txbxContent>
          </v:textbox>
        </v:shape>
        <v:shape id="stamp_text_mini_sheet_label" type="#_x0000_t202" style="position:absolute;left:4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Арк.</w:t>
                </w:r>
              </w:p>
            </w:txbxContent>
          </v:textbox>
        </v:shape>
        <v:shape id="stamp_text_mini_doc_label" type="#_x0000_t202" style="position:absolute;left:50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№Док.</w:t>
                </w:r>
              </w:p>
            </w:txbxContent>
          </v:textbox>
        </v:shape>
        <v:shape id="stamp_text_mini_signature_label" type="#_x0000_t202" style="position:absolute;left:60mm;top:287mm;width:15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Підпис</w:t>
                </w:r>
              </w:p>
            </w:txbxContent>
          </v:textbox>
        </v:shape>
        <v:shape id="stamp_text_mini_date_label" type="#_x0000_t202" style="position:absolute;left:75mm;top:287mm;width:10mm;height:5mm;z-index:2;mso-position-horizontal-relative:page;mso-position-vertical-relative:page;mso-wrap-style:square;v-text-anchor:middle" filled="f" stroked="f">
          <v:textbox inset="1pt,0pt,1pt,0pt">
            <w:txbxContent>
              <w:p>
                <w:pPr>
                  <w:jc w:val="left"/>
                </w:pPr>
                <w:r>
                  <w:rPr>
                    <w:rFonts w:ascii="Arial" w:hAnsi="Arial"/>
                    <w:sz w:val="16"/>
                    <w:w w:val="100"/>
                  </w:rPr>
                  <w:t xml:space="preserve">Дата</w:t>
                </w:r>
              </w:p>
            </w:txbxContent>
          </v:textbox>
        </v:shape>
      </w:pict>
    </w:r>
  </w:p>
</w:ftr>
</file>

<file path=word/numbering.xml><?xml version="1.0" encoding="utf-8"?>
<w:numbering xmlns:w="http://schemas.openxmlformats.org/wordprocessingml/2006/main">
  <w:abstractNum w:abstractNumId="1">
    <w:nsid w:val="EEC00001"/>
    <w:multiLevelType w:val="multilevel"/>
    <w:lvl w:ilvl="0">
      <w:start w:val="1"/>
      <w:numFmt w:val="decimal"/>
      <w:lvlText w:val="%1"/>
      <w:lvlJc w:val="left"/>
      <w:suff w:val="space"/>
      <w:rPr>
        <w:b/>
      </w:rPr>
    </w:lvl>
    <w:lvl w:ilvl="1">
      <w:start w:val="1"/>
      <w:numFmt w:val="decimal"/>
      <w:lvlText w:val="%1.%2"/>
      <w:lvlJc w:val="left"/>
      <w:suff w:val="space"/>
      <w:rPr>
        <w:b/>
      </w:rPr>
    </w:lvl>
    <w:lvl w:ilvl="2">
      <w:start w:val="1"/>
      <w:numFmt w:val="decimal"/>
      <w:lvlText w:val="%1.%2.%3"/>
      <w:lvlJc w:val="left"/>
      <w:suff w:val="space"/>
      <w:rPr>
        <w:b/>
      </w:rPr>
    </w:lvl>
    <w:lvl w:ilvl="3">
      <w:start w:val="1"/>
      <w:numFmt w:val="decimal"/>
      <w:lvlText w:val="%1.%2.%3.%4"/>
      <w:lvlJc w:val="left"/>
      <w:suff w:val="space"/>
      <w:rPr>
        <w:b/>
      </w:rPr>
    </w:lvl>
    <w:lvl w:ilvl="4">
      <w:start w:val="1"/>
      <w:numFmt w:val="decimal"/>
      <w:lvlText w:val="%1.%2.%3.%4.%5"/>
      <w:lvlJc w:val="left"/>
      <w:suff w:val="space"/>
      <w:rPr>
        <w:b/>
      </w:rPr>
    </w:lvl>
    <w:lvl w:ilvl="5">
      <w:start w:val="1"/>
      <w:numFmt w:val="decimal"/>
      <w:lvlText w:val="%1.%2.%3.%4.%5.%6"/>
      <w:lvlJc w:val="left"/>
      <w:suff w:val="space"/>
      <w:rPr>
        <w:b/>
      </w:rPr>
    </w:lvl>
    <w:lvl w:ilvl="6">
      <w:start w:val="1"/>
      <w:numFmt w:val="decimal"/>
      <w:lvlText w:val="%1.%2.%3.%4.%5.%6.%7"/>
      <w:lvlJc w:val="left"/>
      <w:suff w:val="space"/>
      <w:rPr>
        <w:b/>
      </w:rPr>
    </w:lvl>
    <w:lvl w:ilvl="7">
      <w:start w:val="1"/>
      <w:numFmt w:val="decimal"/>
      <w:lvlText w:val="%1.%2.%3.%4.%5.%6.%7.%8"/>
      <w:lvlJc w:val="left"/>
      <w:suff w:val="space"/>
      <w:rPr>
        <w:b/>
      </w:rPr>
    </w:lvl>
    <w:lvl w:ilvl="8">
      <w:start w:val="1"/>
      <w:numFmt w:val="decimal"/>
      <w:lvlText w:val="%1.%2.%3.%4.%5.%6.%7.%8.%9"/>
      <w:lvlJc w:val="left"/>
      <w:suff w:val="space"/>
      <w:rPr>
        <w:b/>
      </w:rPr>
    </w:lvl>
  </w:abstractNum>
  <w:abstractNum w:abstractNumId="99">
    <w:nsid w:val="EEC00099"/>
    <w:multiLevelType w:val="singleLevel"/>
    <w:lvl w:ilvl="0">
      <w:start w:val="1"/>
      <w:numFmt w:val="bullet"/>
      <w:lvlText w:val="•"/>
      <w:lvlJc w:val="left"/>
      <w:suff w:val="space"/>
      <w:pPr>
        <w:ind w:left="360" w:hanging="180"/>
      </w:pPr>
    </w:lvl>
  </w:abstractNum>
  <w:num w:numId="1">
    <w:abstractNumId w:val="1"/>
  </w:num>
  <w:num w:numId="99">
    <w:abstractNumId w:val="99"/>
  </w:num>
</w:numbering>
</file>

<file path=word/settings.xml><?xml version="1.0" encoding="utf-8"?>
<w:settings xmlns:w="http://schemas.openxmlformats.org/wordprocessingml/2006/main" xmlns:m="http://schemas.openxmlformats.org/officeDocument/2006/math">
  <w:compat/>
  <w:defaultTabStop w:val="708"/>
  <w:updateFields w:val="true"/>
  <m:mathPr>
    <m:mathFont m:val="Cambria Math"/>
    <m:dispDef/>
  </m:mathPr>
</w:settings>
</file>

<file path=word/styles.xml><?xml version="1.0" encoding="utf-8"?>
<w:styles xmlns:w="http://schemas.openxmlformats.org/wordprocessingml/2006/main">
  <w:style w:type="paragraph" w:styleId="CadEENormalText">
    <w:name w:val="CadEENormal Text"/>
    <w:rPr>
      <w:rFonts w:ascii="Arial" w:hAnsi="Arial"/>
      <w:sz w:val="20"/>
    </w:rPr>
    <w:pPr>
      <w:spacing w:before="0" w:after="0" w:line="240" w:lineRule="auto"/>
      <w:ind w:left="120" w:right="120"/>
      <w:jc w:val="both"/>
    </w:pPr>
  </w:style>
  <w:style w:type="paragraph" w:styleId="CadEEDocumentTitle">
    <w:name w:val="CadEE Document Title"/>
    <w:rPr>
      <w:rFonts w:ascii="Arial" w:hAnsi="Arial"/>
      <w:sz w:val="28"/>
      <w:b/>
    </w:rPr>
    <w:pPr>
      <w:spacing w:before="0" w:after="0" w:line="240" w:lineRule="auto"/>
      <w:outlineLvl w:val="0"/>
    </w:pPr>
  </w:style>
  <w:style w:type="paragraph" w:styleId="CadEETableOfContentsTitle">
    <w:name w:val="CadEE Table Of Contents Title"/>
    <w:rPr>
      <w:rFonts w:ascii="Arial" w:hAnsi="Arial"/>
      <w:sz w:val="28"/>
      <w:b/>
    </w:rPr>
    <w:pPr>
      <w:spacing w:before="0" w:after="0" w:line="240" w:lineRule="auto"/>
      <w:jc w:val="center"/>
    </w:pPr>
  </w:style>
  <w:style w:type="paragraph" w:styleId="TOC1">
    <w:name w:val="toc 1"/>
    <w:rPr>
      <w:rFonts w:ascii="Arial" w:hAnsi="Arial"/>
      <w:sz w:val="20"/>
      <w:b/>
    </w:rPr>
    <w:pPr>
      <w:spacing w:before="0" w:after="0" w:line="240" w:lineRule="auto"/>
    </w:pPr>
  </w:style>
  <w:style w:type="paragraph" w:styleId="TOC2">
    <w:name w:val="toc 2"/>
    <w:rPr>
      <w:rFonts w:ascii="Arial" w:hAnsi="Arial"/>
      <w:sz w:val="20"/>
      <w:b/>
    </w:rPr>
    <w:pPr>
      <w:spacing w:before="0" w:after="0" w:line="240" w:lineRule="auto"/>
    </w:pPr>
  </w:style>
  <w:style w:type="paragraph" w:styleId="TOC3">
    <w:name w:val="toc 3"/>
    <w:rPr>
      <w:rFonts w:ascii="Arial" w:hAnsi="Arial"/>
      <w:sz w:val="20"/>
      <w:b/>
    </w:rPr>
    <w:pPr>
      <w:spacing w:before="0" w:after="0" w:line="240" w:lineRule="auto"/>
    </w:pPr>
  </w:style>
  <w:style w:type="paragraph" w:styleId="TOC4">
    <w:name w:val="toc 4"/>
    <w:rPr>
      <w:rFonts w:ascii="Arial" w:hAnsi="Arial"/>
      <w:sz w:val="20"/>
      <w:b/>
    </w:rPr>
    <w:pPr>
      <w:spacing w:before="0" w:after="0" w:line="240" w:lineRule="auto"/>
    </w:pPr>
  </w:style>
  <w:style w:type="paragraph" w:styleId="CadEEHeadingLevel1">
    <w:name w:val="CadEEHeading Level 1"/>
    <w:rPr>
      <w:rFonts w:ascii="Arial" w:hAnsi="Arial"/>
      <w:sz w:val="24"/>
      <w:b/>
    </w:rPr>
    <w:pPr>
      <w:keepNext/>
      <w:spacing w:before="180" w:after="100" w:line="240" w:lineRule="auto"/>
      <w:outlineLvl w:val="0"/>
    </w:pPr>
  </w:style>
  <w:style w:type="paragraph" w:styleId="CadEEHeadingLevel2">
    <w:name w:val="CadEEHeading Level 2"/>
    <w:rPr>
      <w:rFonts w:ascii="Arial" w:hAnsi="Arial"/>
      <w:sz w:val="22"/>
      <w:b/>
    </w:rPr>
    <w:pPr>
      <w:keepNext/>
      <w:spacing w:before="140" w:after="60" w:line="240" w:lineRule="auto"/>
      <w:outlineLvl w:val="1"/>
    </w:pPr>
  </w:style>
  <w:style w:type="paragraph" w:styleId="CadEEHeadingLevel3">
    <w:name w:val="CadEEHeading Level 3"/>
    <w:rPr>
      <w:rFonts w:ascii="Arial" w:hAnsi="Arial"/>
      <w:sz w:val="20"/>
      <w:b/>
    </w:rPr>
    <w:pPr>
      <w:keepNext/>
      <w:spacing w:before="100" w:after="40" w:line="240" w:lineRule="auto"/>
      <w:outlineLvl w:val="2"/>
    </w:pPr>
  </w:style>
  <w:style w:type="paragraph" w:styleId="CadEEHeadingLevel4">
    <w:name w:val="CadEEHeading Level 4"/>
    <w:rPr>
      <w:rFonts w:ascii="Arial" w:hAnsi="Arial"/>
      <w:sz w:val="20"/>
      <w:b/>
    </w:rPr>
    <w:pPr>
      <w:keepNext/>
      <w:spacing w:before="100" w:after="40" w:line="240" w:lineRule="auto"/>
      <w:outlineLvl w:val="3"/>
    </w:pPr>
  </w:style>
  <w:style w:type="paragraph" w:styleId="CadEEEquationStyle">
    <w:name w:val="CadEEEquation Style"/>
    <w:rPr>
      <w:rFonts w:ascii="Cambria Math" w:hAnsi="Cambria Math"/>
      <w:sz w:val="20"/>
    </w:rPr>
    <w:pPr>
      <w:spacing w:before="0" w:after="0" w:line="240" w:lineRule="auto"/>
      <w:jc w:val="center"/>
    </w:pPr>
  </w:style>
  <w:style w:type="paragraph" w:styleId="CadEETableCaption">
    <w:name w:val="CadEE Table Caption"/>
    <w:rPr>
      <w:rFonts w:ascii="Arial" w:hAnsi="Arial"/>
      <w:sz w:val="20"/>
      <w:b/>
    </w:rPr>
    <w:pPr>
      <w:keepNext/>
      <w:spacing w:before="80" w:after="40" w:line="240" w:lineRule="auto"/>
    </w:pPr>
  </w:style>
  <w:style w:type="paragraph" w:styleId="CadEEFigureCaption">
    <w:name w:val="CadEE Figure Caption"/>
    <w:rPr>
      <w:rFonts w:ascii="Arial" w:hAnsi="Arial"/>
      <w:sz w:val="16"/>
    </w:rPr>
    <w:pPr>
      <w:spacing w:before="0" w:after="0" w:line="240" w:lineRule="auto"/>
      <w:jc w:val="center"/>
    </w:pPr>
  </w:style>
  <w:style w:type="paragraph" w:styleId="CadEETableStyle">
    <w:name w:val="CadEETable Style"/>
    <w:rPr>
      <w:rFonts w:ascii="Arial" w:hAnsi="Arial"/>
      <w:sz w:val="16"/>
    </w:rPr>
    <w:pPr>
      <w:spacing w:before="0" w:after="0" w:line="240" w:lineRule="auto"/>
    </w:pPr>
  </w:style>
  <w:style w:type="paragraph" w:styleId="CadEETableHeadStyle">
    <w:name w:val="CadEETableHead Style"/>
    <w:rPr>
      <w:rFonts w:ascii="Arial" w:hAnsi="Arial"/>
      <w:sz w:val="16"/>
      <w:b/>
    </w:rPr>
    <w:pPr>
      <w:spacing w:before="0" w:after="0" w:line="240" w:lineRule="auto"/>
      <w:jc w:val="center"/>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image" Target="media/image1.png"/><Relationship Id="rId5" Type="http://schemas.openxmlformats.org/officeDocument/2006/relationships/footer" Target="footer1.xml"/><Relationship Id="rId6" Type="http://schemas.openxmlformats.org/officeDocument/2006/relationships/footer" Target="footer2.xml"/></Relationships>
</file>