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Визначення теплопередачі до грунту згідно з ДСТУ 9190:2022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Розрахунок термічного опору. Підлога по грунту 1. </w:t>
      </w:r>
      <w:bookmarkEnd w:id="2"/>
    </w:p>
    <w:p>
      <w:pPr>
        <w:pStyle w:val="CadEENormalText"/>
      </w:pPr>
      <w:r>
        <w:t xml:space="preserve">Визначимо термічний опір фрагменту конструкції згідно з вимогами ДСТУ 9191:2022. </w:t>
      </w:r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0.150 м. Кількість шарів конструкції - 1.  Шар №1 Мінеральна вата (скляне штапельне волокно) з густиною 10 кг/м3 та товщиною 0.150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NormalText"/>
        <w:numPr>
          <w:ilvl w:val="2"/>
          <w:numId w:val="1"/>
        </w:numPr>
      </w:pPr>
      <w:bookmarkStart w:id="5" w:name="CadEE_Target_5"/>
      <w:r>
        <w:t xml:space="preserve">Вологісні умови експлуатації матеріалів огороджувальної конструкції визначено згідно з додатком Б ДБН В.2.6-31:2021 . Призначення будівлі - одноквартирний будинок, для якої згідно з т.Б.2 ДБН В.2.6-31:2021 розрахункові значення температури і вологості приміщень t_в= 20 °С, φ_в= 55 % відповідно. Вологісний режим приміщень приймаємо згідно з т.Б.1 ДБН В.2.6-31:2021 - нормальний,а також враховуючи, що конструкція зовнішня, то умови експлуатації згідно з т.Б.3 ДБН В.2.6-31:2021 - Б.</w:t>
      </w:r>
      <w:bookmarkEnd w:id="5"/>
    </w:p>
    <w:p>
      <w:pPr>
        <w:pStyle w:val="CadEENormalText"/>
        <w:numPr>
          <w:ilvl w:val="2"/>
          <w:numId w:val="1"/>
        </w:numPr>
      </w:pPr>
      <w:bookmarkStart w:id="6" w:name="CadEE_Target_6"/>
      <w:r>
        <w:t xml:space="preserve">Розрахункові характеристики матеріалів конструкції визначаємо згідно з додатком А ДСТУ 9191:2022.</w:t>
      </w:r>
      <w:bookmarkEnd w:id="6"/>
    </w:p>
    <w:p>
      <w:pPr>
        <w:pStyle w:val="CadEETableCaption"/>
      </w:pPr>
      <w:r>
        <w:t xml:space="preserve">Таблиця №</w:t>
      </w:r>
      <w:bookmarkStart w:id="7" w:name="CadEE_Target_7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1.1</w:t>
      </w:r>
      <w:r>
        <w:fldChar w:fldCharType="end"/>
      </w:r>
      <w:bookmarkEnd w:id="7"/>
      <w:r>
        <w:t xml:space="preserve">. Розрахункові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608"/>
        <w:gridCol w:w="5472"/>
        <w:gridCol w:w="1824"/>
        <w:gridCol w:w="2432"/>
      </w:tblGrid>
      <w:tr>
        <w:trPr>
          <w:tblHeader/>
        </w:trPr>
        <w:tc>
          <w:tcPr>
            <w:tcW w:w="608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547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82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243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</w:tr>
      <w:tr>
        <w:trPr>
          <w:tblHeader/>
        </w:trPr>
        <w:tc>
          <w:tcPr>
            <w:tcW w:w="608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547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82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243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Вт/(м²K)</w:t>
            </w:r>
          </w:p>
        </w:tc>
      </w:tr>
      <w:tr>
        <w:tc>
          <w:tcPr>
            <w:tcW w:w="608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547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(скляне штапельне волокно) ρ=10 кг/м3</w:t>
            </w:r>
          </w:p>
        </w:tc>
        <w:tc>
          <w:tcPr>
            <w:tcW w:w="1824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0.15</w:t>
            </w:r>
          </w:p>
        </w:tc>
        <w:tc>
          <w:tcPr>
            <w:tcW w:w="243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0.057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2"/>
          <w:numId w:val="1"/>
        </w:numPr>
      </w:pPr>
      <w:bookmarkStart w:id="8" w:name="CadEE_Target_8"/>
      <w:r>
        <w:t xml:space="preserve">Визначаємо опір теплопередачі конструкції згідно з формулою 2 ДСТУ 9191:2022:</w:t>
      </w:r>
      <w:bookmarkEnd w:id="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f</m:t>
                    </m:r>
                  </m:sub>
                </m:sSub>
                <m:r>
                  <m:t>=</m:t>
                </m:r>
                <m:f>
                  <m:num>
                    <m:r>
                      <m:t>+</m:t>
                    </m:r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+</m:t>
                    </m:r>
                    <m:r>
                      <m:t>0.15</m:t>
                    </m:r>
                  </m:num>
                  <m:den>
                    <m:r>
                      <m:t>0.057</m:t>
                    </m:r>
                  </m:den>
                </m:f>
                <m:r>
                  <m:t>=</m:t>
                </m:r>
                <m:r>
                  <m:t>2.632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" w:name="CadEE_Target_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HeadingLevel2"/>
        <w:numPr>
          <w:ilvl w:val="1"/>
          <w:numId w:val="1"/>
        </w:numPr>
      </w:pPr>
      <w:bookmarkStart w:id="10" w:name="CadEE_Target_10"/>
      <w:r>
        <w:t xml:space="preserve">Визначення показника теплозасвоєння поверхнею підлоги </w:t>
      </w:r>
      <w:bookmarkEnd w:id="10"/>
    </w:p>
    <w:p>
      <w:pPr>
        <w:pStyle w:val="CadEENormalText"/>
      </w:pPr>
      <w:r>
        <w:t xml:space="preserve">Оцінку теплозасвоєння поверхнею підлоги виконуємо згідно з вимогами ДСТУ-Н Б В.2.6-190:2013, п.6.3.</w:t>
      </w:r>
    </w:p>
    <w:p>
      <w:pPr>
        <w:pStyle w:val="CadEENormalText"/>
        <w:numPr>
          <w:ilvl w:val="2"/>
          <w:numId w:val="1"/>
        </w:numPr>
      </w:pPr>
      <w:bookmarkStart w:id="11" w:name="CadEE_Target_11"/>
      <w:r>
        <w:t xml:space="preserve">Вихідні дані</w:t>
      </w:r>
      <w:bookmarkEnd w:id="11"/>
    </w:p>
    <w:p>
      <w:pPr>
        <w:pStyle w:val="CadEENormalText"/>
      </w:pPr>
      <w:r>
        <w:t xml:space="preserve">При розрахунках враховуються основні шари конструкції, теплофізичні характеристики яких приймаються згідно з Додатком А ДСТУ Б В.2.6-189:2013. Теплофізичні характеристики матеріалів шарів конструкції наведено в таблиці:</w:t>
      </w:r>
    </w:p>
    <w:p>
      <w:pPr>
        <w:pStyle w:val="CadEETableCaption"/>
      </w:pPr>
      <w:r>
        <w:t xml:space="preserve">Таблиця №</w:t>
      </w:r>
      <w:bookmarkStart w:id="12" w:name="CadEE_Target_12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1.2</w:t>
      </w:r>
      <w:r>
        <w:fldChar w:fldCharType="end"/>
      </w:r>
      <w:bookmarkEnd w:id="12"/>
      <w:r>
        <w:t xml:space="preserve">.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516"/>
        <w:gridCol w:w="4651"/>
        <w:gridCol w:w="1033"/>
        <w:gridCol w:w="1033"/>
        <w:gridCol w:w="1550"/>
        <w:gridCol w:w="1550"/>
      </w:tblGrid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Густина ρ,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Коефіцієнт теплозасвоєння s, </w:t>
            </w:r>
          </w:p>
        </w:tc>
      </w:tr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кг/м³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Вт/(м*K). Умови експл. А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Вт/(м²K). Умови експл. А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(скляне штапельне волокно) ρ=10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0.055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0.19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2"/>
          <w:numId w:val="1"/>
        </w:numPr>
      </w:pPr>
      <w:bookmarkStart w:id="13" w:name="CadEE_Target_13"/>
      <w:r>
        <w:t xml:space="preserve">Визначення теплових характеристик шарів непрозорої огороджувальної конструкції</w:t>
      </w:r>
      <w:bookmarkEnd w:id="13"/>
    </w:p>
    <w:p>
      <w:pPr>
        <w:pStyle w:val="CadEENormalText"/>
      </w:pPr>
      <w:r>
        <w:t xml:space="preserve">Теплові опори теплопередачі шарів непрозорої огороджувальної конструкції розраховуємо згідно з формулою (7) ДСТУ-Н Б.2.6-190:2013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0.15</m:t>
                    </m:r>
                  </m:num>
                  <m:den>
                    <m:r>
                      <m:t>0.055</m:t>
                    </m:r>
                  </m:den>
                </m:f>
                <m:r>
                  <m:t>=</m:t>
                </m:r>
                <m:r>
                  <m:t>2.727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" w:name="CadEE_Target_1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15" w:name="CadEE_Target_15"/>
      <w:r>
        <w:t xml:space="preserve">Визначення теплових інерцій кожного шару непрозорої огороджувальної конструкції </w:t>
      </w:r>
      <w:bookmarkEnd w:id="15"/>
    </w:p>
    <w:p>
      <w:pPr>
        <w:pStyle w:val="CadEENormalText"/>
      </w:pPr>
      <w:r>
        <w:t xml:space="preserve">Теплові інерції шарів непрозорої огороджувальної конструкції розраховуємо згідно з формулами (5) та (6)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2.727</m:t>
                </m:r>
                <m:r>
                  <m:t>·</m:t>
                </m:r>
                <m:r>
                  <m:t>0.19</m:t>
                </m:r>
                <m:r>
                  <m:t>=</m:t>
                </m:r>
                <m:r>
                  <m:t>0.518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CadEE_Target_13 \n \h </w:instrText>
      </w:r>
      <w:r>
        <w:fldChar w:fldCharType="separate"/>
      </w:r>
      <w:r>
        <w:t xml:space="preserve">1.2.2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D</m:t>
                </m:r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0.518</m:t>
                </m:r>
                <m:r>
                  <m:t>=</m:t>
                </m:r>
                <m:r>
                  <m:t>0.518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" w:name="CadEE_Target_1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теплова інерція шару конструкції, див. п. </w:t>
      </w:r>
      <w:r>
        <w:fldChar w:fldCharType="begin"/>
      </w:r>
      <w:r>
        <w:instrText xml:space="preserve"> REF CadEE_Target_15 \n \h </w:instrText>
      </w:r>
      <w:r>
        <w:fldChar w:fldCharType="separate"/>
      </w:r>
      <w:r>
        <w:t xml:space="preserve">1.2.3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Теплова інерція першого шару покриття підлоги D_1 = 0.52 ≥ 0,5. Згідно з п.6.3(а) ДСТУ-Н Б В.2.6-190:2013 показник теплозасвоєння поверхнею підлоги Y_п визначаємо за формулою (25):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п</m:t>
                    </m:r>
                  </m:sub>
                </m:sSub>
                <m:r>
                  <m:t>=</m:t>
                </m:r>
                <m:r>
                  <m:t>2</m:t>
                </m:r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2</m:t>
                </m:r>
                <m:r>
                  <m:t>·</m:t>
                </m:r>
                <m:r>
                  <m:t>0.19</m:t>
                </m:r>
                <m:r>
                  <m:t>=</m:t>
                </m:r>
                <m:r>
                  <m:t>0.38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" w:name="CadEE_Target_1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CadEE_Target_16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).</w:t>
      </w:r>
    </w:p>
    <w:p>
      <w:pPr>
        <w:pStyle w:val="CadEENormalText"/>
        <w:numPr>
          <w:ilvl w:val="2"/>
          <w:numId w:val="1"/>
        </w:numPr>
      </w:pPr>
      <w:bookmarkStart w:id="19" w:name="CadEE_Target_19"/>
      <w:r>
        <w:t xml:space="preserve">Максимально допустиме значення показника теплозасвоєння визначаємо, як для одноквартирний будинок, згідно з табл.4 ДБН В.2.6-31:2021:</w:t>
      </w:r>
      <w:bookmarkEnd w:id="19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Y</m:t>
              </m:r>
            </m:e>
            <m:sub>
              <m:r>
                <m:t>пmax</m:t>
              </m:r>
            </m:sub>
          </m:sSub>
          <m:r>
            <m:t>=</m:t>
          </m:r>
          <m:r>
            <m:t>12</m:t>
          </m:r>
          <m:f>
            <m:num>
              <m:r>
                <m:t>Вт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°С</m:t>
              </m:r>
            </m:den>
          </m:f>
        </m:oMath>
      </m:oMathPara>
    </w:p>
    <w:p>
      <w:pPr>
        <w:pStyle w:val="CadEENormalText"/>
        <w:numPr>
          <w:ilvl w:val="2"/>
          <w:numId w:val="1"/>
        </w:numPr>
      </w:pPr>
      <w:bookmarkStart w:id="21" w:name="CadEE_Target_21"/>
      <w:r>
        <w:t xml:space="preserve">Оскільки:</w:t>
      </w:r>
      <w:bookmarkEnd w:id="21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Y</m:t>
              </m:r>
            </m:e>
            <m:sub>
              <m:r>
                <m:t>п</m:t>
              </m:r>
            </m:sub>
          </m:sSub>
          <m:r>
            <m:t>=</m:t>
          </m:r>
          <m:r>
            <m:t>0.38</m:t>
          </m:r>
          <m:f>
            <m:num>
              <m:r>
                <m:t>Вт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°С</m:t>
              </m:r>
            </m:den>
          </m:f>
          <m:r>
            <m:t xml:space="preserve"> </m:t>
          </m:r>
          <m:r>
            <m:t>&lt;</m:t>
          </m:r>
          <m:r>
            <m:t xml:space="preserve"> </m:t>
          </m:r>
          <m:sSub>
            <m:e>
              <m:r>
                <m:rPr>
                  <m:sty m:val="i"/>
                </m:rPr>
                <m:t>Y</m:t>
              </m:r>
            </m:e>
            <m:sub>
              <m:r>
                <m:t>пmax</m:t>
              </m:r>
            </m:sub>
          </m:sSub>
          <m:r>
            <m:t>=</m:t>
          </m:r>
          <m:r>
            <m:t>12</m:t>
          </m:r>
          <m:f>
            <m:num>
              <m:r>
                <m:t>Вт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°С</m:t>
              </m:r>
            </m:den>
          </m:f>
        </m:oMath>
      </m:oMathPara>
    </w:p>
    <w:p>
      <w:pPr>
        <w:pStyle w:val="CadEENormalText"/>
      </w:pPr>
      <w:r>
        <w:t xml:space="preserve">то умова (9) ДБН В.2.6-31:2021 - виконується.</w:t>
      </w:r>
    </w:p>
    <w:p>
      <w:pPr>
        <w:pStyle w:val="CadEEHeadingLevel1"/>
        <w:numPr>
          <w:ilvl w:val="0"/>
          <w:numId w:val="1"/>
        </w:numPr>
      </w:pPr>
      <w:bookmarkStart w:id="23" w:name="CadEE_Target_23"/>
      <w:r>
        <w:t xml:space="preserve">Розрахунок теплопередачі до ґрунту</w:t>
      </w:r>
      <w:bookmarkEnd w:id="23"/>
    </w:p>
    <w:p>
      <w:pPr>
        <w:pStyle w:val="CadEEHeadingLevel2"/>
        <w:numPr>
          <w:ilvl w:val="1"/>
          <w:numId w:val="1"/>
        </w:numPr>
      </w:pPr>
      <w:bookmarkStart w:id="24" w:name="CadEE_Target_24"/>
      <w:r>
        <w:t xml:space="preserve">Теплопередача до ґрунту за стаціонарних умов. Підлога по ґрунту. (Підлога по грунту 1)</w:t>
      </w:r>
      <w:bookmarkEnd w:id="2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f</m:t>
                    </m:r>
                  </m:sub>
                </m:sSub>
                <m:r>
                  <m:t>=</m:t>
                </m:r>
                <m:r>
                  <m:t>2.632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5" w:name="CadEE_Target_2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25"/>
            <w:r>
              <w:t>)</w:t>
            </w:r>
          </w:p>
        </w:tc>
      </w:tr>
    </w:tbl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w</m:t>
                </m:r>
                <m:r>
                  <m:t>=</m:t>
                </m:r>
                <m:r>
                  <m:t>0.25</m:t>
                </m:r>
                <m:r>
                  <m:t>м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6" w:name="CadEE_Target_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26"/>
            <w:r>
              <w:t>)</w:t>
            </w:r>
          </w:p>
        </w:tc>
      </w:tr>
    </w:tbl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P</m:t>
                </m:r>
                <m:r>
                  <m:t>=</m:t>
                </m:r>
                <m:r>
                  <m:t>40</m:t>
                </m:r>
                <m:r>
                  <m:t>м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7" w:name="CadEE_Target_2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27"/>
            <w:r>
              <w:t>)</w:t>
            </w:r>
          </w:p>
        </w:tc>
      </w:tr>
    </w:tbl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Ψ</m:t>
                    </m:r>
                  </m:e>
                  <m:sub>
                    <m:r>
                      <m:rPr>
                        <m:sty m:val="i"/>
                      </m:rPr>
                      <m:t>g</m:t>
                    </m:r>
                  </m:sub>
                </m:sSub>
                <m:r>
                  <m:t>=</m:t>
                </m:r>
                <m:r>
                  <m:t>0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8" w:name="CadEE_Target_2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28"/>
            <w:r>
              <w:t>)</w:t>
            </w:r>
          </w:p>
        </w:tc>
      </w:tr>
    </w:tbl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A</m:t>
                </m:r>
                <m:r>
                  <m:t>=</m:t>
                </m:r>
                <m:r>
                  <m:t>99</m:t>
                </m:r>
                <m:sSup>
                  <m:e>
                    <m:r>
                      <m:t>м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9" w:name="CadEE_Target_2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29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30" w:name="CadEE_Target_30"/>
      <w:r>
        <w:t xml:space="preserve">Теплопровідність до ґрунту приймаємо згідно з таблицею Б.1 ДСТУ 9190:2022, як для ґрунту - невизначений:</w:t>
      </w:r>
      <w:bookmarkEnd w:id="30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t>λ</m:t>
                </m:r>
                <m:r>
                  <m:t>=</m:t>
                </m:r>
                <m:r>
                  <m:t>2</m:t>
                </m:r>
                <m:f>
                  <m:num>
                    <m:r>
                      <m:t>Вт</m:t>
                    </m:r>
                  </m:num>
                  <m:den>
                    <m:r>
                      <m:t>м</m:t>
                    </m:r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1" w:name="CadEE_Target_3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31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32" w:name="CadEE_Target_32"/>
      <w:r>
        <w:t xml:space="preserve">Тепловий опір внутрішнього середовища, приймаємо згідно з таблицею Б.2 ДСТУ 9190:2022, як для горизонтальних огороджуючих конструкцій з тепловим потоком зверху вниз:</w:t>
      </w:r>
      <w:bookmarkEnd w:id="3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si</m:t>
                    </m:r>
                  </m:sub>
                </m:sSub>
                <m:r>
                  <m:t>=</m:t>
                </m:r>
                <m:r>
                  <m:t>0.17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3" w:name="CadEE_Target_3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33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34" w:name="CadEE_Target_34"/>
      <w:r>
        <w:t xml:space="preserve">Тепловий опір зовнішнього середовища, приймаємо згідно з таблицею Б.2 ДСТУ 9190:2022:</w:t>
      </w:r>
      <w:bookmarkEnd w:id="3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se</m:t>
                    </m:r>
                  </m:sub>
                </m:sSub>
                <m:r>
                  <m:t>=</m:t>
                </m:r>
                <m:r>
                  <m:t>0.043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5" w:name="CadEE_Target_3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35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36" w:name="CadEE_Target_36"/>
      <w:r>
        <w:t xml:space="preserve">Еквівалентна товщина підлоги згідно з п. Б.1.1.2 ДСТУ 9190:2022: </w:t>
      </w:r>
      <w:bookmarkEnd w:id="3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rPr>
                        <m:sty m:val="i"/>
                      </m:rPr>
                      <m:t>t</m:t>
                    </m:r>
                  </m:sub>
                </m:sSub>
                <m:r>
                  <m:t>=</m:t>
                </m:r>
                <m:r>
                  <m:rPr>
                    <m:sty m:val="i"/>
                  </m:rPr>
                  <m:t>w</m:t>
                </m:r>
                <m:r>
                  <m:t>+</m:t>
                </m:r>
                <m:r>
                  <m:t>λ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f</m:t>
                        </m:r>
                      </m:sub>
                    </m:sSub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se</m:t>
                        </m:r>
                      </m:sub>
                    </m:sSub>
                  </m:e>
                </m:d>
                <m:r>
                  <m:t>=</m:t>
                </m:r>
                <m:r>
                  <m:t>0.25</m:t>
                </m:r>
                <m:r>
                  <m:t>+</m:t>
                </m:r>
                <m:r>
                  <m:t>2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0.17</m:t>
                    </m:r>
                    <m:r>
                      <m:t>+</m:t>
                    </m:r>
                    <m:r>
                      <m:t>2.631579</m:t>
                    </m:r>
                    <m:r>
                      <m:t>+</m:t>
                    </m:r>
                    <m:r>
                      <m:t>0.043</m:t>
                    </m:r>
                  </m:e>
                </m:d>
                <m:r>
                  <m:t>=</m:t>
                </m:r>
                <m:r>
                  <m:t>5.939</m:t>
                </m:r>
                <m:r>
                  <m:t xml:space="preserve"> </m:t>
                </m:r>
                <m:r>
                  <m:t>м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7" w:name="CadEE_Target_3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bookmarkEnd w:id="3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w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f</w:t>
      </w:r>
      <w:r>
        <w:t xml:space="preserve">, див. п. </w:t>
      </w:r>
      <w:r>
        <w:fldChar w:fldCharType="begin"/>
      </w:r>
      <w:r>
        <w:instrText xml:space="preserve"> REF CadEE_Target_8 \n \h </w:instrText>
      </w:r>
      <w:r>
        <w:fldChar w:fldCharType="separate"/>
      </w:r>
      <w:r>
        <w:t xml:space="preserve">1.1.4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se</w:t>
      </w:r>
      <w:r>
        <w:t xml:space="preserve"> - зовнішній поверхневий опір теплопередачі непрозорої частини,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38" w:name="CadEE_Target_38"/>
      <w:r>
        <w:t xml:space="preserve">Характерний розмір підлоги згідно з п. Б.1.1.2 ДСТУ 9190:2022: </w:t>
      </w:r>
      <w:bookmarkEnd w:id="3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B</m:t>
                </m:r>
                <m:r>
                  <m:t>=</m:t>
                </m:r>
                <m:f>
                  <m:num>
                    <m:r>
                      <m:rPr>
                        <m:sty m:val="i"/>
                      </m:rPr>
                      <m:t>A</m:t>
                    </m:r>
                  </m:num>
                  <m:den>
                    <m:r>
                      <m:t>0.5</m:t>
                    </m:r>
                    <m:r>
                      <m:rPr>
                        <m:sty m:val="i"/>
                      </m:rPr>
                      <m:t>P</m:t>
                    </m:r>
                  </m:den>
                </m:f>
                <m:r>
                  <m:t>=</m:t>
                </m:r>
                <m:f>
                  <m:num>
                    <m:r>
                      <m:t>99</m:t>
                    </m:r>
                  </m:num>
                  <m:den>
                    <m:r>
                      <m:t>0.5</m:t>
                    </m:r>
                    <m:r>
                      <m:t>·</m:t>
                    </m:r>
                    <m:r>
                      <m:t>40</m:t>
                    </m:r>
                  </m:den>
                </m:f>
                <m:r>
                  <m:t>=</m:t>
                </m:r>
                <m:r>
                  <m:t>4.95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9" w:name="CadEE_Target_3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bookmarkEnd w:id="3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A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P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40" w:name="CadEE_Target_40"/>
      <w:r>
        <w:t xml:space="preserve">Оскільки: </w:t>
      </w:r>
      <w:bookmarkEnd w:id="40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d</m:t>
              </m:r>
            </m:e>
            <m:sub>
              <m:r>
                <m:rPr>
                  <m:sty m:val="i"/>
                </m:rPr>
                <m:t>t</m:t>
              </m:r>
            </m:sub>
          </m:sSub>
          <m:r>
            <m:t>=</m:t>
          </m:r>
          <m:r>
            <m:t>5.94</m:t>
          </m:r>
          <m:r>
            <m:t>м</m:t>
          </m:r>
          <m:r>
            <m:t>&gt;</m:t>
          </m:r>
          <m:r>
            <m:rPr>
              <m:sty m:val="i"/>
            </m:rPr>
            <m:t>B</m:t>
          </m:r>
          <m:r>
            <m:t>=</m:t>
          </m:r>
          <m:r>
            <m:t>4.95</m:t>
          </m:r>
        </m:oMath>
      </m:oMathPara>
    </w:p>
    <w:p>
      <w:pPr>
        <w:pStyle w:val="CadEENormalText"/>
        <w:numPr>
          <w:ilvl w:val="2"/>
          <w:numId w:val="1"/>
        </w:numPr>
      </w:pPr>
      <w:bookmarkStart w:id="42" w:name="CadEE_Target_42"/>
      <w:r>
        <w:t xml:space="preserve">Коефіцієнт теплопередачі підлоги на ґрунті згідно з п. Б.1.1.2 ДСТУ 9190:2022 : </w:t>
      </w:r>
      <w:bookmarkEnd w:id="4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U</m:t>
                </m:r>
                <m:r>
                  <m:t>=</m:t>
                </m:r>
                <m:f>
                  <m:num>
                    <m:r>
                      <m:t>λ</m:t>
                    </m:r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0.457</m:t>
                        </m:r>
                        <m:r>
                          <m:rPr>
                            <m:sty m:val="i"/>
                          </m:rPr>
                          <m:t>B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d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t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r>
                      <m:t>2</m:t>
                    </m:r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0.457</m:t>
                        </m:r>
                        <m:r>
                          <m:t>·</m:t>
                        </m:r>
                        <m:r>
                          <m:t>4.95</m:t>
                        </m:r>
                        <m:r>
                          <m:t>+</m:t>
                        </m:r>
                        <m:r>
                          <m:t>5.939</m:t>
                        </m:r>
                      </m:e>
                    </m:d>
                  </m:den>
                </m:f>
                <m:r>
                  <m:t>=</m:t>
                </m:r>
                <m:r>
                  <m:t>0.2439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3" w:name="CadEE_Target_4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  <w:bookmarkEnd w:id="4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λ</w:t>
      </w:r>
      <w:r>
        <w:t xml:space="preserve"> - те саме, що у формулі (</w:t>
      </w:r>
      <w:r>
        <w:fldChar w:fldCharType="begin"/>
      </w:r>
      <w:r>
        <w:instrText xml:space="preserve"> REF CadEE_Target_37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B</w:t>
      </w:r>
      <w:r>
        <w:t xml:space="preserve">, див. п. </w:t>
      </w:r>
      <w:r>
        <w:fldChar w:fldCharType="begin"/>
      </w:r>
      <w:r>
        <w:instrText xml:space="preserve"> REF CadEE_Target_38 \n \h </w:instrText>
      </w:r>
      <w:r>
        <w:fldChar w:fldCharType="separate"/>
      </w:r>
      <w:r>
        <w:t xml:space="preserve">2.1.5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t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CadEE_Target_36 \n \h </w:instrText>
      </w:r>
      <w:r>
        <w:fldChar w:fldCharType="separate"/>
      </w:r>
      <w:r>
        <w:t xml:space="preserve">2.1.4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44" w:name="CadEE_Target_44"/>
      <w:r>
        <w:t xml:space="preserve">Стаціонарний узагальнений коефіцієнт теплопередачі згідно з п. Б.1.1.3 ДСТУ 9190:2022: </w:t>
      </w:r>
      <w:bookmarkEnd w:id="4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g</m:t>
                    </m:r>
                  </m:sub>
                </m:sSub>
                <m:r>
                  <m:t>=</m:t>
                </m:r>
                <m:r>
                  <m:rPr>
                    <m:sty m:val="i"/>
                  </m:rPr>
                  <m:t>A</m:t>
                </m:r>
                <m:r>
                  <m:rPr>
                    <m:sty m:val="i"/>
                  </m:rPr>
                  <m:t>U</m:t>
                </m:r>
                <m:r>
                  <m:t>+</m:t>
                </m:r>
                <m:r>
                  <m:rPr>
                    <m:sty m:val="i"/>
                  </m:rPr>
                  <m:t>P</m:t>
                </m:r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rPr>
                            <m:sty m:val="i"/>
                          </m:rPr>
                          <m:t>g</m:t>
                        </m:r>
                      </m:sub>
                    </m:sSub>
                    <m:r>
                      <m:t>+</m:t>
                    </m:r>
                    <m:sSub>
                      <m:e>
                        <m:sSub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g</m:t>
                            </m:r>
                          </m:sub>
                        </m:sSub>
                      </m:e>
                      <m:sub>
                        <m:r>
                          <m:rPr>
                            <m:sty m:val="i"/>
                          </m:rPr>
                          <m:t>e</m:t>
                        </m:r>
                      </m:sub>
                    </m:sSub>
                  </m:e>
                </m:d>
                <m:r>
                  <m:t>=</m:t>
                </m:r>
                <m:r>
                  <m:t>99</m:t>
                </m:r>
                <m:r>
                  <m:t>·</m:t>
                </m:r>
                <m:r>
                  <m:t>0.2439</m:t>
                </m:r>
                <m:r>
                  <m:t>+</m:t>
                </m:r>
                <m:r>
                  <m:t>40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0</m:t>
                    </m:r>
                    <m:r>
                      <m:t>+</m:t>
                    </m:r>
                    <m:r>
                      <m:t>0</m:t>
                    </m:r>
                  </m:e>
                </m:d>
                <m:r>
                  <m:t>=</m:t>
                </m:r>
                <m:r>
                  <m:t>24.142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r>
                      <m:rPr>
                        <m:sty m:val="i"/>
                      </m:rPr>
                      <m:t>K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5" w:name="CadEE_Target_4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  <w:bookmarkEnd w:id="4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A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P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U</w:t>
      </w:r>
      <w:r>
        <w:t xml:space="preserve">, див. п. </w:t>
      </w:r>
      <w:r>
        <w:fldChar w:fldCharType="begin"/>
      </w:r>
      <w:r>
        <w:instrText xml:space="preserve"> REF CadEE_Target_42 \n \h </w:instrText>
      </w:r>
      <w:r>
        <w:fldChar w:fldCharType="separate"/>
      </w:r>
      <w:r>
        <w:t xml:space="preserve">2.1.7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Ψ</w:t>
      </w:r>
      <w:r>
        <w:rPr>
          <w:rFonts w:ascii="Cambria Math" w:hAnsi="Cambria Math" w:eastAsia="Cambria Math" w:cs="Cambria Math"/>
          <w:vertAlign w:val="subscript"/>
        </w:rPr>
        <w:t xml:space="preserve">g</w:t>
      </w:r>
      <w:r>
        <w:t xml:space="preserve"> - лінійний коефіцієнт теплопередачі термічного включення,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Ψ</w:t>
      </w:r>
      <w:r>
        <w:rPr>
          <w:rFonts w:ascii="Cambria Math" w:hAnsi="Cambria Math" w:eastAsia="Cambria Math" w:cs="Cambria Math"/>
          <w:vertAlign w:val="subscript"/>
        </w:rPr>
        <w:t xml:space="preserve">g e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46" w:name="CadEE_Target_46"/>
      <w:r>
        <w:t xml:space="preserve">Приведений опір теплопередачі підлоги по ґрунті згідно з приміткою 1 до п. Б.1.1.6:</w:t>
      </w:r>
      <w:bookmarkEnd w:id="4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Σпр</m:t>
                        </m:r>
                      </m:sub>
                    </m:sSub>
                  </m:e>
                  <m:sub>
                    <m:r>
                      <m:rPr>
                        <m:sty m:val="i"/>
                      </m:rPr>
                      <m:t>g</m:t>
                    </m:r>
                  </m:sub>
                </m:sSub>
                <m:r>
                  <m:t>=</m:t>
                </m:r>
                <m:f>
                  <m:num>
                    <m:r>
                      <m:rPr>
                        <m:sty m:val="i"/>
                      </m:rPr>
                      <m:t>A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g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99</m:t>
                    </m:r>
                  </m:num>
                  <m:den>
                    <m:r>
                      <m:t>24.142</m:t>
                    </m:r>
                  </m:den>
                </m:f>
                <m:r>
                  <m:t>=</m:t>
                </m:r>
                <m:r>
                  <m:t>4.101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47" w:name="CadEE_Target_4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  <w:bookmarkEnd w:id="4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A</w:t>
      </w:r>
      <w:r>
        <w:t xml:space="preserve"> - те саме, що у формулі (</w:t>
      </w:r>
      <w:r>
        <w:fldChar w:fldCharType="begin"/>
      </w:r>
      <w:r>
        <w:instrText xml:space="preserve"> REF CadEE_Target_39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g</w:t>
      </w:r>
      <w:r>
        <w:t xml:space="preserve">, див. п. </w:t>
      </w:r>
      <w:r>
        <w:fldChar w:fldCharType="begin"/>
      </w:r>
      <w:r>
        <w:instrText xml:space="preserve"> REF CadEE_Target_44 \n \h </w:instrText>
      </w:r>
      <w:r>
        <w:fldChar w:fldCharType="separate"/>
      </w:r>
      <w:r>
        <w:t xml:space="preserve">2.1.8</w:t>
      </w:r>
      <w:r>
        <w:fldChar w:fldCharType="end"/>
      </w:r>
      <w:r>
        <w:t xml:space="preserve">.</w:t>
      </w:r>
    </w:p>
    <w:p>
      <w:pPr>
        <w:pStyle w:val="CadEEHeadingLevel1"/>
        <w:numPr>
          <w:ilvl w:val="0"/>
          <w:numId w:val="1"/>
        </w:numPr>
      </w:pPr>
      <w:bookmarkStart w:id="48" w:name="CadEE_Target_48"/>
      <w:r>
        <w:t xml:space="preserve">Перевірка температури внутрішньої повехні конструкції на відповідність вимогам ДБН В.2.6-31:2021.</w:t>
      </w:r>
      <w:bookmarkEnd w:id="48"/>
    </w:p>
    <w:p>
      <w:pPr>
        <w:pStyle w:val="CadEENormalText"/>
        <w:numPr>
          <w:ilvl w:val="1"/>
          <w:numId w:val="1"/>
        </w:numPr>
      </w:pPr>
      <w:bookmarkStart w:id="49" w:name="CadEE_Target_49"/>
      <w:r>
        <w:t xml:space="preserve">Коефіцієнти тепловіддачі визначаємо згідно з таблицею Б додатку Б ДСТУ 9191:2022. Для конструкції типу - перекриття над проїздом, розрахункові значення коефіцієнтів тепловіддачі внутрішньої  поверхоні огороджувальних конструкцій прийнято:</w:t>
      </w:r>
      <w:bookmarkEnd w:id="4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α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r>
                  <m:t>5.9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0" w:name="CadEE_Target_5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19</w:t>
            </w:r>
            <w:r>
              <w:fldChar w:fldCharType="end"/>
            </w:r>
            <w:bookmarkEnd w:id="50"/>
            <w:r>
              <w:t>)</w:t>
            </w:r>
          </w:p>
        </w:tc>
      </w:tr>
    </w:tbl>
    <w:p>
      <w:pPr>
        <w:pStyle w:val="CadEENormalText"/>
        <w:numPr>
          <w:ilvl w:val="1"/>
          <w:numId w:val="1"/>
        </w:numPr>
      </w:pPr>
      <w:bookmarkStart w:id="51" w:name="CadEE_Target_51"/>
      <w:r>
        <w:t xml:space="preserve">Визначаємо опір теплопередачі конструкції згідно з формулою 2 ДСТУ 9191:2022:</w:t>
      </w:r>
      <w:bookmarkEnd w:id="5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s</m:t>
                    </m:r>
                  </m:sub>
                </m:sSub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в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r>
                      <m:t>5.9</m:t>
                    </m:r>
                  </m:den>
                </m:f>
                <m:r>
                  <m:t>+</m:t>
                </m:r>
                <m:f>
                  <m:num>
                    <m:r>
                      <m:t>0.15</m:t>
                    </m:r>
                  </m:num>
                  <m:den>
                    <m:r>
                      <m:t>0.057</m:t>
                    </m:r>
                  </m:den>
                </m:f>
                <m:r>
                  <m:t>=</m:t>
                </m:r>
                <m:r>
                  <m:t>2.801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2" w:name="CadEE_Target_5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20</w:t>
            </w:r>
            <w:r>
              <w:fldChar w:fldCharType="end"/>
            </w:r>
            <w:bookmarkEnd w:id="5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α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).</w:t>
      </w:r>
    </w:p>
    <w:p>
      <w:pPr>
        <w:pStyle w:val="CadEENormalText"/>
        <w:numPr>
          <w:ilvl w:val="1"/>
          <w:numId w:val="1"/>
        </w:numPr>
      </w:pPr>
      <w:bookmarkStart w:id="53" w:name="CadEE_Target_53"/>
      <w:r>
        <w:t xml:space="preserve">Визначення розподілу температури в товщині конструкції згідно з формулою (5) ДСТУ Б В.2.6-192:2013:</w:t>
      </w:r>
      <w:bookmarkEnd w:id="5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0.15</m:t>
                    </m:r>
                  </m:num>
                  <m:den>
                    <m:r>
                      <m:t>0.057</m:t>
                    </m:r>
                  </m:den>
                </m:f>
                <m:r>
                  <m:t>=</m:t>
                </m:r>
                <m:r>
                  <m:t>2.632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4" w:name="CadEE_Target_5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21</w:t>
            </w:r>
            <w:r>
              <w:fldChar w:fldCharType="end"/>
            </w:r>
            <w:bookmarkEnd w:id="5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t>з</m:t>
              </m:r>
            </m:sub>
          </m:sSub>
          <m:r>
            <m:t>=</m:t>
          </m:r>
          <m:r>
            <m:t>0</m:t>
          </m:r>
          <m:r>
            <m:t>°С;</m:t>
          </m:r>
        </m:oMath>
      </m:oMathPara>
    </w:p>
    <w:p>
      <w:pPr>
        <w:pStyle w:val="CadEENormalText"/>
        <w:numPr>
          <w:ilvl w:val="1"/>
          <w:numId w:val="1"/>
        </w:numPr>
      </w:pPr>
      <w:bookmarkStart w:id="56" w:name="CadEE_Target_56"/>
      <w:r>
        <w:t xml:space="preserve">Температура в площинах на межі шарів : </w:t>
      </w:r>
      <w:bookmarkEnd w:id="5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t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t</m:t>
                    </m:r>
                  </m:e>
                  <m:sub>
                    <m:r>
                      <m:t>в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t</m:t>
                            </m:r>
                          </m:e>
                          <m:sub>
                            <m:r>
                              <m:t>в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t</m:t>
                            </m:r>
                          </m:e>
                          <m:sub>
                            <m:r>
                              <m:t>з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в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num>
                  <m:den>
                    <m:r>
                      <m:t>2.801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5.9</m:t>
                    </m:r>
                  </m:den>
                </m:f>
                <m:r>
                  <m:t>=</m:t>
                </m:r>
                <m:r>
                  <m:t>18.79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7" w:name="CadEE_Target_5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  <w:bookmarkEnd w:id="5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температура внутрішнього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температура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загальний опір теплопередачі конструкції, див. п. </w:t>
      </w:r>
      <w:r>
        <w:fldChar w:fldCharType="begin"/>
      </w:r>
      <w:r>
        <w:instrText xml:space="preserve"> REF CadEE_Target_51 \n \h </w:instrText>
      </w:r>
      <w:r>
        <w:fldChar w:fldCharType="separate"/>
      </w:r>
      <w:r>
        <w:t xml:space="preserve">3.2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α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CadEE_Target_52 \h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t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t</m:t>
                    </m:r>
                  </m:e>
                  <m:sub>
                    <m:r>
                      <m:t>в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t</m:t>
                            </m:r>
                          </m:e>
                          <m:sub>
                            <m:r>
                              <m:t>в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t</m:t>
                            </m:r>
                          </m:e>
                          <m:sub>
                            <m:r>
                              <m:t>з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t>α</m:t>
                            </m:r>
                          </m:e>
                          <m:sub>
                            <m:r>
                              <m:t>в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0</m:t>
                        </m:r>
                      </m:e>
                    </m:d>
                  </m:num>
                  <m:den>
                    <m:r>
                      <m:t>2.801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5.9</m:t>
                        </m:r>
                      </m:den>
                    </m:f>
                    <m:r>
                      <m:t>+</m:t>
                    </m:r>
                    <m:r>
                      <m:t>2.632</m:t>
                    </m:r>
                  </m:e>
                </m:d>
                <m:r>
                  <m:t>=</m:t>
                </m:r>
                <m:r>
                  <m:t>0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8" w:name="CadEE_Target_5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  <w:bookmarkEnd w:id="5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CadEE_Target_57 \h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α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CadEE_Target_52 \h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CadEE_Target_16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2" name="Image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59" w:name="CadEE_Target_59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3.1</w:t>
      </w:r>
      <w:r>
        <w:fldChar w:fldCharType="end"/>
      </w:r>
      <w:bookmarkEnd w:id="59"/>
      <w:r>
        <w:t xml:space="preserve">. Розподіл температур у товщині огороджуючої конструкції ( з заданими вручну характеристиками).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CadEE_Target_59 \h </w:instrText>
      </w:r>
      <w:r>
        <w:fldChar w:fldCharType="separate"/>
      </w:r>
      <w:r>
        <w:t xml:space="preserve">3.1</w:t>
      </w:r>
      <w:r>
        <w:fldChar w:fldCharType="end"/>
      </w:r>
    </w:p>
    <w:p>
      <w:pPr>
        <w:pStyle w:val="CadEENormalText"/>
      </w:pPr>
      <w:r>
        <w:t xml:space="preserve">Температурний перепад між температурою внутрішнього повітря та приведеною температурою внутрішньої поверхні огороджувальної конструкції: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ΔT</m:t>
                    </m:r>
                  </m:e>
                  <m:sub>
                    <m:r>
                      <m:t>пр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t</m:t>
                    </m:r>
                  </m:e>
                  <m:sub>
                    <m:r>
                      <m:t>в</m:t>
                    </m:r>
                  </m:sub>
                </m:sSub>
                <m:r>
                  <m:t>−</m:t>
                </m:r>
                <m:sSub>
                  <m:e>
                    <m:r>
                      <m:rPr>
                        <m:sty m:val="i"/>
                      </m:rPr>
                      <m:t>t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r>
                  <m:t>20</m:t>
                </m:r>
                <m:r>
                  <m:t>−</m:t>
                </m:r>
                <m:r>
                  <m:t>18.79</m:t>
                </m:r>
                <m:r>
                  <m:t>=</m:t>
                </m:r>
                <m:r>
                  <m:t>1.21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60" w:name="CadEE_Target_6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  <w:bookmarkEnd w:id="6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 саме, що у формулі (</w:t>
      </w:r>
      <w:r>
        <w:fldChar w:fldCharType="begin"/>
      </w:r>
      <w:r>
        <w:instrText xml:space="preserve"> REF CadEE_Target_57 \h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0</w:t>
      </w:r>
      <w:r>
        <w:t xml:space="preserve"> - температура на внутрішній поверхні конструкції, див. п. </w:t>
      </w:r>
      <w:r>
        <w:fldChar w:fldCharType="begin"/>
      </w:r>
      <w:r>
        <w:instrText xml:space="preserve"> REF CadEE_Target_56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61" w:name="CadEE_Target_61"/>
      <w:r>
        <w:t xml:space="preserve">Температуру точки роси визначаємо за умов, коли температура повітря t_в дорівнює 20 °С, а відносна вологість становить 55%.</w:t>
      </w:r>
      <w:bookmarkEnd w:id="61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p</m:t>
              </m:r>
            </m:sub>
          </m:sSub>
          <m:r>
            <m:t>=</m:t>
          </m:r>
          <m:f>
            <m:num>
              <m:r>
                <m:t>237.7</m:t>
              </m:r>
              <m:r>
                <m:t>·</m:t>
              </m:r>
              <m:d>
                <m:dPr>
                  <m:begChr m:val="("/>
                  <m:endChr m:val=")"/>
                </m:dPr>
                <m:e>
                  <m:f>
                    <m:num>
                      <m:r>
                        <m:t>17.27</m:t>
                      </m:r>
                      <m:r>
                        <m:t>·</m:t>
                      </m:r>
                      <m:sSub>
                        <m:e>
                          <m:r>
                            <m:rPr>
                              <m:sty m:val="i"/>
                            </m:rPr>
                            <m:t>t</m:t>
                          </m:r>
                        </m:e>
                        <m:sub>
                          <m:r>
                            <m:t>в</m:t>
                          </m:r>
                        </m:sub>
                      </m:sSub>
                    </m:num>
                    <m:den>
                      <m:d>
                        <m:dPr>
                          <m:begChr m:val="("/>
                          <m:endChr m:val=")"/>
                        </m:dPr>
                        <m:e>
                          <m:r>
                            <m:t>237.7</m:t>
                          </m:r>
                          <m:r>
                            <m:t>+</m:t>
                          </m:r>
                          <m:sSub>
                            <m:e>
                              <m:r>
                                <m:rPr>
                                  <m:sty m:val="i"/>
                                </m:rPr>
                                <m:t>t</m:t>
                              </m:r>
                            </m:e>
                            <m:sub>
                              <m:r>
                                <m:t>в</m:t>
                              </m:r>
                            </m:sub>
                          </m:sSub>
                        </m:e>
                      </m:d>
                    </m:den>
                  </m:f>
                  <m:r>
                    <m:t>+</m:t>
                  </m:r>
                  <m:func>
                    <m:fName>
                      <m:r>
                        <m:t>ln</m:t>
                      </m:r>
                    </m:fName>
                    <m:e>
                      <m:f>
                        <m:num>
                          <m:sSub>
                            <m:e>
                              <m:r>
                                <m:t>φ</m:t>
                              </m:r>
                            </m:e>
                            <m:sub>
                              <m:r>
                                <m:t>в</m:t>
                              </m:r>
                            </m:sub>
                          </m:sSub>
                        </m:num>
                        <m:den>
                          <m:r>
                            <m:t>100</m:t>
                          </m:r>
                        </m:den>
                      </m:f>
                    </m:e>
                  </m:func>
                </m:e>
              </m:d>
            </m:num>
            <m:den>
              <m:d>
                <m:dPr>
                  <m:begChr m:val="("/>
                  <m:endChr m:val=")"/>
                </m:dPr>
                <m:e>
                  <m:r>
                    <m:t>17.27</m:t>
                  </m:r>
                  <m:r>
                    <m:t>−</m:t>
                  </m:r>
                  <m:d>
                    <m:dPr>
                      <m:begChr m:val="("/>
                      <m:endChr m:val=")"/>
                    </m:dPr>
                    <m:e>
                      <m:f>
                        <m:num>
                          <m:r>
                            <m:t>17.27</m:t>
                          </m:r>
                          <m:r>
                            <m:t>·</m:t>
                          </m:r>
                          <m:sSub>
                            <m:e>
                              <m:r>
                                <m:rPr>
                                  <m:sty m:val="i"/>
                                </m:rPr>
                                <m:t>t</m:t>
                              </m:r>
                            </m:e>
                            <m:sub>
                              <m:r>
                                <m:t>в</m:t>
                              </m:r>
                            </m:sub>
                          </m:sSub>
                        </m:num>
                        <m:den>
                          <m:d>
                            <m:dPr>
                              <m:begChr m:val="("/>
                              <m:endChr m:val=")"/>
                            </m:dPr>
                            <m:e>
                              <m:r>
                                <m:t>237.7</m:t>
                              </m:r>
                              <m:r>
                                <m:t>+</m:t>
                              </m:r>
                              <m:sSub>
                                <m:e>
                                  <m:r>
                                    <m:rPr>
                                      <m:sty m:val="i"/>
                                    </m:rPr>
                                    <m:t>t</m:t>
                                  </m:r>
                                </m:e>
                                <m:sub>
                                  <m:r>
                                    <m:t>в</m:t>
                                  </m:r>
                                </m:sub>
                              </m:sSub>
                            </m:e>
                          </m:d>
                        </m:den>
                      </m:f>
                      <m:r>
                        <m:t>+</m:t>
                      </m:r>
                      <m:func>
                        <m:fName>
                          <m:r>
                            <m:t>ln</m:t>
                          </m:r>
                        </m:fName>
                        <m:e>
                          <m:f>
                            <m:num>
                              <m:sSub>
                                <m:e>
                                  <m:r>
                                    <m:t>φ</m:t>
                                  </m:r>
                                </m:e>
                                <m:sub>
                                  <m:r>
                                    <m:t>в</m:t>
                                  </m:r>
                                </m:sub>
                              </m:sSub>
                            </m:num>
                            <m:den>
                              <m:r>
                                <m:t>100</m:t>
                              </m:r>
                            </m:den>
                          </m:f>
                        </m:e>
                      </m:func>
                    </m:e>
                  </m:d>
                </m:e>
              </m:d>
            </m:den>
          </m:f>
          <m:r>
            <m:t>=</m:t>
          </m:r>
          <m:r>
            <m:t>10.68</m:t>
          </m:r>
          <m:r>
            <m:t>°С</m:t>
          </m:r>
        </m:oMath>
      </m:oMathPara>
    </w:p>
    <w:p>
      <w:pPr>
        <w:pStyle w:val="CadEENormalText"/>
        <w:numPr>
          <w:ilvl w:val="1"/>
          <w:numId w:val="1"/>
        </w:numPr>
      </w:pPr>
      <w:bookmarkStart w:id="63" w:name="CadEE_Target_63"/>
      <w:r>
        <w:t xml:space="preserve">Визначення допустимого значення різниці між температурою внутрішнього повітря та приведеною температурою внутрішньої поверхні огороджувальної конструкції визначаємо згідно з п. 5.4 ДБН В.2.6-31:2021:</w:t>
      </w:r>
      <w:bookmarkEnd w:id="6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ΔT</m:t>
                    </m:r>
                  </m:e>
                  <m:sub>
                    <m:r>
                      <m:rPr>
                        <m:sty m:val="i"/>
                      </m:rPr>
                      <m:t>cr</m:t>
                    </m:r>
                  </m:sub>
                </m:sSub>
                <m:r>
                  <m:t>=</m:t>
                </m:r>
                <m:r>
                  <m:t>2</m:t>
                </m:r>
                <m:r>
                  <m:t>°С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64" w:name="CadEE_Target_6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25</w:t>
            </w:r>
            <w:r>
              <w:fldChar w:fldCharType="end"/>
            </w:r>
            <w:bookmarkEnd w:id="64"/>
            <w:r>
              <w:t>)</w:t>
            </w:r>
          </w:p>
        </w:tc>
      </w:tr>
    </w:tbl>
    <w:p>
      <w:pPr>
        <w:pStyle w:val="CadEENormalText"/>
        <w:numPr>
          <w:ilvl w:val="1"/>
          <w:numId w:val="1"/>
        </w:numPr>
      </w:pPr>
      <w:bookmarkStart w:id="65" w:name="CadEE_Target_65"/>
      <w:r>
        <w:t xml:space="preserve">Оскільки: </w:t>
      </w:r>
      <w:bookmarkEnd w:id="65"/>
    </w:p>
    <w:p>
      <w:pPr>
        <w:pStyle w:val="CadEEEquationStyle"/>
      </w:pPr>
      <m:oMathPara>
        <m:oMath>
          <m:sSub>
            <m:e>
              <m:r>
                <m:t>ΔT</m:t>
              </m:r>
            </m:e>
            <m:sub>
              <m:r>
                <m:t>пр</m:t>
              </m:r>
            </m:sub>
          </m:sSub>
          <m:r>
            <m:t>=</m:t>
          </m:r>
          <m:r>
            <m:t>1.21</m:t>
          </m:r>
          <m:r>
            <m:t>°C</m:t>
          </m:r>
          <m:r>
            <m:t xml:space="preserve"> </m:t>
          </m:r>
          <m:r>
            <m:t>&lt;</m:t>
          </m:r>
          <m:r>
            <m:t xml:space="preserve"> </m:t>
          </m:r>
          <m:sSub>
            <m:e>
              <m:r>
                <m:t>ΔT</m:t>
              </m:r>
            </m:e>
            <m:sub>
              <m:r>
                <m:rPr>
                  <m:sty m:val="i"/>
                </m:rPr>
                <m:t>cr</m:t>
              </m:r>
            </m:sub>
          </m:sSub>
          <m:r>
            <m:t>=</m:t>
          </m:r>
          <m:r>
            <m:t>2</m:t>
          </m:r>
          <m:r>
            <m:t>°C</m:t>
          </m:r>
        </m:oMath>
      </m:oMathPara>
    </w:p>
    <w:p>
      <w:pPr>
        <w:pStyle w:val="CadEENormalText"/>
      </w:pPr>
      <w:r>
        <w:t xml:space="preserve">то умова (5) ДБН В.2.6-31:2021 виконується.</w:t>
      </w:r>
    </w:p>
    <w:sectPr>
      <w:footerReference w:type="first" r:id="rId6"/>
      <w:footerReference w:type="default" r:id="rId7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розрахунку підлоги по ґрунту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