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Визначення температури точки роси та розподілу температур у конструкції згідно з вимогами ДСТУ Б В.2.6-192:2013.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Розрахунок термічного опору. Цегляна стіна з мінеральною ватою. </w:t>
      </w:r>
      <w:bookmarkEnd w:id="2"/>
    </w:p>
    <w:p>
      <w:pPr>
        <w:pStyle w:val="CadEENormalText"/>
      </w:pPr>
      <w:r>
        <w:t xml:space="preserve">Визначимо термічний опір фрагменту конструкції згідно з вимогами ДСТУ 9191:2022. </w:t>
      </w:r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0.595 м. Кількість шарів конструкції - 5.  Шар №1 Розчин складний (пісок, вапно, цемент) та товщиною 0.020 м.  Шар №2 Кладка з цегли керамічної повнотілої звичайної на цементно-піщаному розчині з густиною 1800 кг/м3 та товщиною 0.380 м.  Шар №3 Розчин цементно-піщаний та товщиною 0.010 м.  Шар №4 Мінеральна вата (базальтове волокно) з густиною 150 кг/м3 та товщиною 0.180 м.  Шар №5 Розчин цементно-піщаний та товщиною 0.005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Вологісні умови експлуатації матеріалів огороджувальної конструкції визначено згідно з додатком Б ДБН В.2.6-31:2021 . Призначення будівлі - одноквартирний будинок, для якої згідно з т.Б.2 ДБН В.2.6-31:2021 розрахункові значення температури і вологості приміщень θ_int= 20 °С, φ_int= 55 % відповідно. Вологісний режим приміщень приймаємо згідно з т.Б.1 ДБН В.2.6-31:2021 - нормальний,а також враховуючи, що конструкція зовнішня, то умови експлуатації згідно з т.Б.3 ДБН В.2.6-31:2021 - Б.</w:t>
      </w:r>
      <w:bookmarkEnd w:id="5"/>
    </w:p>
    <w:p>
      <w:pPr>
        <w:pStyle w:val="CadEENormalText"/>
        <w:numPr>
          <w:ilvl w:val="2"/>
          <w:numId w:val="1"/>
        </w:numPr>
      </w:pPr>
      <w:bookmarkStart w:id="6" w:name="CadEE_Target_6"/>
      <w:r>
        <w:t xml:space="preserve">Розрахункові характеристики матеріалів конструкції визначаємо згідно з додатком А ДСТУ 9191:2022.</w:t>
      </w:r>
      <w:bookmarkEnd w:id="6"/>
    </w:p>
    <w:p>
      <w:pPr>
        <w:pStyle w:val="CadEENormalText"/>
        <w:numPr>
          <w:ilvl w:val="2"/>
          <w:numId w:val="1"/>
        </w:numPr>
      </w:pPr>
      <w:bookmarkStart w:id="7" w:name="CadEE_Target_7"/>
      <w:r>
        <w:t xml:space="preserve">Коефіцієнти тепловіддачі визначаємо згідно з таблицею Б додатку Б ДСТУ 9191:2022. Для конструкції типу - стіна, розрахункові значення коефіцієнтів тепловіддачі внутрішньої  та зовнішньої поверхонь огороджувальних конструкцій прийнято:</w:t>
      </w:r>
      <w:bookmarkEnd w:id="7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si</m:t>
                    </m:r>
                  </m:sub>
                </m:sSub>
                <m:r>
                  <m:t>=</m:t>
                </m:r>
                <m:r>
                  <m:t>8.7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  <m:r>
                  <m:t xml:space="preserve"> </m:t>
                </m:r>
                <m:sSub>
                  <m:e>
                    <m:r>
                      <m:rPr>
                        <m:sty m:val="i"/>
                      </m:rPr>
                      <m:t>h</m:t>
                    </m:r>
                  </m:e>
                  <m:sub>
                    <m:r>
                      <m:rPr>
                        <m:sty m:val="i"/>
                      </m:rPr>
                      <m:t>se</m:t>
                    </m:r>
                  </m:sub>
                </m:sSub>
                <m:r>
                  <m:t>=</m:t>
                </m:r>
                <m:r>
                  <m:t>23</m:t>
                </m:r>
                <m:f>
                  <m:num>
                    <m:r>
                      <m:t>Вт</m:t>
                    </m:r>
                  </m:num>
                  <m:den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t>К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" w:name="CadEE_Target_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8"/>
            <w:r>
              <w:t>)</w:t>
            </w:r>
          </w:p>
        </w:tc>
      </w:tr>
    </w:tbl>
    <w:p>
      <w:pPr>
        <w:pStyle w:val="CadEENormalText"/>
        <w:numPr>
          <w:ilvl w:val="2"/>
          <w:numId w:val="1"/>
        </w:numPr>
      </w:pPr>
      <w:bookmarkStart w:id="9" w:name="CadEE_Target_9"/>
      <w:r>
        <w:t xml:space="preserve">Визначаємо опір теплопередачі конструкції згідно з формулою 2 ДСТУ 9191:2022:</w:t>
      </w:r>
      <w:bookmarkEnd w:id="9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rPr>
                        <m:sty m:val="i"/>
                      </m:rPr>
                      <m:t>s</m:t>
                    </m:r>
                  </m:sub>
                </m:sSub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se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+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1</m:t>
                    </m:r>
                  </m:num>
                  <m:den>
                    <m:r>
                      <m:t>23</m:t>
                    </m:r>
                  </m:den>
                </m:f>
                <m:r>
                  <m:t>=</m:t>
                </m:r>
                <m:r>
                  <m:t>4.267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" w:name="CadEE_Target_1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1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se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р5</w:t>
      </w:r>
      <w:r>
        <w:t xml:space="preserve"> - розрахункова теплопровідність матеріалу шару,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1" w:name="CadEE_Target_11"/>
      <w:r>
        <w:t xml:space="preserve">Визначення розподілу температури в товщині конструкції згідно з формулою (5) ДСТУ Б В.2.6-192:2013:</w:t>
      </w:r>
      <w:bookmarkEnd w:id="11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=</m:t>
                </m:r>
                <m:r>
                  <m:t>0.02299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" w:name="CadEE_Target_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=</m:t>
                </m:r>
                <m:r>
                  <m:t>0.4921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3" w:name="CadEE_Target_1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р2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=</m:t>
                </m:r>
                <m:r>
                  <m:t>0.503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р3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=</m:t>
                </m:r>
                <m:r>
                  <m:t>4.103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" w:name="CadEE_Target_1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р4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3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4</m:t>
                            </m:r>
                          </m:sub>
                        </m:sSub>
                      </m:sub>
                    </m:sSub>
                  </m:den>
                </m:f>
                <m:r>
                  <m:t>+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sSub>
                          <m:e>
                            <m:r>
                              <m:t>р</m:t>
                            </m:r>
                          </m:e>
                          <m:sub>
                            <m:r>
                              <m:t>5</m:t>
                            </m:r>
                          </m:sub>
                        </m:sSub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0.87</m:t>
                    </m:r>
                  </m:den>
                </m:f>
                <m:r>
                  <m:t>+</m:t>
                </m:r>
                <m:f>
                  <m:num>
                    <m:r>
                      <m:t>0.38</m:t>
                    </m:r>
                  </m:num>
                  <m:den>
                    <m:r>
                      <m:t>0.81</m:t>
                    </m:r>
                  </m:den>
                </m:f>
                <m:r>
                  <m:t>+</m:t>
                </m:r>
                <m:f>
                  <m:num>
                    <m:r>
                      <m:t>0.01</m:t>
                    </m:r>
                  </m:num>
                  <m:den>
                    <m:r>
                      <m:t>0.93</m:t>
                    </m:r>
                  </m:den>
                </m:f>
                <m:r>
                  <m:t>+</m:t>
                </m:r>
                <m:f>
                  <m:num>
                    <m:r>
                      <m:t>0.18</m:t>
                    </m:r>
                  </m:num>
                  <m:den>
                    <m:r>
                      <m:t>0.05</m:t>
                    </m:r>
                  </m:den>
                </m:f>
                <m:r>
                  <m:t>+</m:t>
                </m:r>
                <m:f>
                  <m:num>
                    <m:r>
                      <m:t>0.005</m:t>
                    </m:r>
                  </m:num>
                  <m:den>
                    <m:r>
                      <m:t>0.93</m:t>
                    </m:r>
                  </m:den>
                </m:f>
                <m:r>
                  <m:t>=</m:t>
                </m:r>
                <m:r>
                  <m:t>4.108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р1</w:t>
      </w:r>
      <w:r>
        <w:t xml:space="preserve">..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р5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ext</m:t>
              </m:r>
            </m:sub>
          </m:sSub>
          <m:r>
            <m:t>=</m:t>
          </m:r>
          <m:r>
            <m:t>−</m:t>
          </m:r>
          <m:r>
            <m:t>22</m:t>
          </m:r>
          <m:r>
            <m:t>°С;</m:t>
          </m:r>
        </m:oMath>
      </m:oMathPara>
    </w:p>
    <w:p>
      <w:pPr>
        <w:pStyle w:val="CadEENormalText"/>
        <w:numPr>
          <w:ilvl w:val="2"/>
          <w:numId w:val="1"/>
        </w:numPr>
      </w:pPr>
      <w:bookmarkStart w:id="18" w:name="CadEE_Target_18"/>
      <w:r>
        <w:t xml:space="preserve">Температура в площинах на межі шарів : </w:t>
      </w:r>
      <w:bookmarkEnd w:id="18"/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0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f>
                  <m:num>
                    <m:r>
                      <m:t>1</m:t>
                    </m:r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h</m:t>
                        </m:r>
                      </m:e>
                      <m:sub>
                        <m:r>
                          <m:rPr>
                            <m:sty m:val="i"/>
                          </m:rPr>
                          <m:t>si</m:t>
                        </m:r>
                      </m:sub>
                    </m:sSub>
                  </m:den>
                </m:f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f>
                  <m:num>
                    <m:r>
                      <m:t>1</m:t>
                    </m:r>
                  </m:num>
                  <m:den>
                    <m:r>
                      <m:t>8.7</m:t>
                    </m:r>
                  </m:den>
                </m:f>
                <m:r>
                  <m:t>=</m:t>
                </m:r>
                <m:r>
                  <m:t>18.869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 - температура внутрішнього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 - температура зовнішнього повітря,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загальний опір теплопередачі конструкції, див. п. </w:t>
      </w:r>
      <w:r>
        <w:fldChar w:fldCharType="begin"/>
      </w:r>
      <w:r>
        <w:instrText xml:space="preserve"> REF CadEE_Target_9 \n \h </w:instrText>
      </w:r>
      <w:r>
        <w:fldChar w:fldCharType="separate"/>
      </w:r>
      <w:r>
        <w:t xml:space="preserve">1.1.5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0.02299</m:t>
                    </m:r>
                  </m:e>
                </m:d>
                <m:r>
                  <m:t>=</m:t>
                </m:r>
                <m:r>
                  <m:t>18.642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0" w:name="CadEE_Target_2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2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0.4921</m:t>
                    </m:r>
                  </m:e>
                </m:d>
                <m:r>
                  <m:t>=</m:t>
                </m:r>
                <m:r>
                  <m:t>14.024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1" w:name="CadEE_Target_2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2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0.503</m:t>
                    </m:r>
                  </m:e>
                </m:d>
                <m:r>
                  <m:t>=</m:t>
                </m:r>
                <m:r>
                  <m:t>13.918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2" w:name="CadEE_Target_2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2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4.103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21.519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3" w:name="CadEE_Target_23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12</w:t>
            </w:r>
            <w:r>
              <w:fldChar w:fldCharType="end"/>
            </w:r>
            <w:bookmarkEnd w:id="23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t>θ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t>θ</m:t>
                    </m:r>
                  </m:e>
                  <m:sub>
                    <m:r>
                      <m:rPr>
                        <m:sty m:val="i"/>
                      </m:rPr>
                      <m:t>int</m:t>
                    </m:r>
                  </m:sub>
                </m:sSub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int</m:t>
                            </m:r>
                          </m:sub>
                        </m:sSub>
                        <m:r>
                          <m:t>−</m:t>
                        </m:r>
                        <m:sSub>
                          <m:e>
                            <m:r>
                              <m:t>θ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ext</m:t>
                            </m:r>
                          </m:sub>
                        </m:sSub>
                      </m:e>
                    </m:d>
                  </m:num>
                  <m:den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rPr>
                            <m:sty m:val="i"/>
                          </m:rPr>
                          <m:t>s</m:t>
                        </m:r>
                      </m:sub>
                    </m:sSub>
                  </m:den>
                </m:f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sSub>
                          <m:e>
                            <m:r>
                              <m:rPr>
                                <m:sty m:val="i"/>
                              </m:rPr>
                              <m:t>h</m:t>
                            </m:r>
                          </m:e>
                          <m:sub>
                            <m:r>
                              <m:rPr>
                                <m:sty m:val="i"/>
                              </m:rPr>
                              <m:t>si</m:t>
                            </m:r>
                          </m:sub>
                        </m:sSub>
                      </m:den>
                    </m:f>
                    <m:r>
                      <m:t>+</m:t>
                    </m:r>
                    <m:sSub>
                      <m:e>
                        <m:r>
                          <m:rPr>
                            <m:sty m:val="i"/>
                          </m:rPr>
                          <m:t>R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e>
                </m:d>
                <m:r>
                  <m:t>=</m:t>
                </m:r>
                <m:r>
                  <m:t>20</m:t>
                </m:r>
                <m:r>
                  <m:t>−</m:t>
                </m:r>
                <m:f>
                  <m:num>
                    <m:d>
                      <m:dPr>
                        <m:begChr m:val="("/>
                        <m:endChr m:val=")"/>
                      </m:dPr>
                      <m:e>
                        <m:r>
                          <m:t>20</m:t>
                        </m:r>
                        <m:r>
                          <m:t>−</m:t>
                        </m:r>
                        <m:r>
                          <m:t>−</m:t>
                        </m:r>
                        <m:r>
                          <m:t>22</m:t>
                        </m:r>
                      </m:e>
                    </m:d>
                  </m:num>
                  <m:den>
                    <m:r>
                      <m:t>4.267</m:t>
                    </m:r>
                  </m:den>
                </m:f>
                <m:r>
                  <m:t>·</m:t>
                </m:r>
                <m:d>
                  <m:dPr>
                    <m:begChr m:val="("/>
                    <m:endChr m:val=")"/>
                  </m:dPr>
                  <m:e>
                    <m:f>
                      <m:num>
                        <m:r>
                          <m:t>1</m:t>
                        </m:r>
                      </m:num>
                      <m:den>
                        <m:r>
                          <m:t>8.7</m:t>
                        </m:r>
                      </m:den>
                    </m:f>
                    <m:r>
                      <m:t>+</m:t>
                    </m:r>
                    <m:r>
                      <m:t>4.108</m:t>
                    </m:r>
                  </m:e>
                </m:d>
                <m:r>
                  <m:t>=</m:t>
                </m:r>
                <m:r>
                  <m:t>−</m:t>
                </m:r>
                <m:r>
                  <m:t>21.572</m:t>
                </m:r>
                <m:r>
                  <m:t xml:space="preserve"> </m:t>
                </m:r>
                <m:r>
                  <m:t>°C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24" w:name="CadEE_Target_2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13</w:t>
            </w:r>
            <w:r>
              <w:fldChar w:fldCharType="end"/>
            </w:r>
            <w:bookmarkEnd w:id="2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int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θ</w:t>
      </w:r>
      <w:r>
        <w:rPr>
          <w:rFonts w:ascii="Cambria Math" w:hAnsi="Cambria Math" w:eastAsia="Cambria Math" w:cs="Cambria Math"/>
          <w:vertAlign w:val="subscript"/>
        </w:rPr>
        <w:t xml:space="preserve">ext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s</w:t>
      </w:r>
      <w:r>
        <w:t xml:space="preserve"> - те саме, що у формулі (</w:t>
      </w:r>
      <w:r>
        <w:fldChar w:fldCharType="begin"/>
      </w:r>
      <w:r>
        <w:instrText xml:space="preserve"> REF CadEE_Target_19 \h </w:instrText>
      </w:r>
      <w:r>
        <w:fldChar w:fldCharType="separate"/>
      </w:r>
      <w:r>
        <w:t xml:space="preserve">8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h</w:t>
      </w:r>
      <w:r>
        <w:rPr>
          <w:rFonts w:ascii="Cambria Math" w:hAnsi="Cambria Math" w:eastAsia="Cambria Math" w:cs="Cambria Math"/>
          <w:vertAlign w:val="subscript"/>
        </w:rPr>
        <w:t xml:space="preserve">si</w:t>
      </w:r>
      <w:r>
        <w:t xml:space="preserve"> - те саме, що у формулі (</w:t>
      </w:r>
      <w:r>
        <w:fldChar w:fldCharType="begin"/>
      </w:r>
      <w:r>
        <w:instrText xml:space="preserve"> REF CadEE_Target_10 \h </w:instrText>
      </w:r>
      <w:r>
        <w:fldChar w:fldCharType="separate"/>
      </w:r>
      <w:r>
        <w:t xml:space="preserve">2</w:t>
      </w:r>
      <w:r>
        <w:fldChar w:fldCharType="end"/>
      </w:r>
      <w:r>
        <w:t xml:space="preserve">);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CadEE_Target_11 \n \h </w:instrText>
      </w:r>
      <w:r>
        <w:fldChar w:fldCharType="separate"/>
      </w:r>
      <w:r>
        <w:t xml:space="preserve">1.1.6</w:t>
      </w:r>
      <w:r>
        <w:fldChar w:fldCharType="end"/>
      </w:r>
      <w:r>
        <w:t xml:space="preserve">.</w:t>
      </w:r>
    </w:p>
    <w:p>
      <w:pPr>
        <w:jc w:val="center"/>
      </w:pPr>
      <w:r>
        <w:rPr/>
        <w:drawing>
          <wp:inline distT="0" distB="0" distL="0" distR="0">
            <wp:extent cx="5400000" cy="2700000"/>
            <wp:docPr id="2" name="Image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25" w:name="CadEE_Target_25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1.2</w:t>
      </w:r>
      <w:r>
        <w:fldChar w:fldCharType="end"/>
      </w:r>
      <w:bookmarkEnd w:id="25"/>
      <w:r>
        <w:t xml:space="preserve">. Розподіл температур у товщині огороджуючої конструкції ( з заданими вручну характеристиками).</w:t>
      </w:r>
    </w:p>
    <w:p>
      <w:pPr>
        <w:pStyle w:val="CadEENormalText"/>
      </w:pPr>
      <w:r>
        <w:t xml:space="preserve">Графік розподілу температур див. рис. </w:t>
      </w:r>
      <w:r>
        <w:fldChar w:fldCharType="begin"/>
      </w:r>
      <w:r>
        <w:instrText xml:space="preserve"> REF CadEE_Target_25 \h </w:instrText>
      </w:r>
      <w:r>
        <w:fldChar w:fldCharType="separate"/>
      </w:r>
      <w:r>
        <w:t xml:space="preserve">1.2</w:t>
      </w:r>
      <w:r>
        <w:fldChar w:fldCharType="end"/>
      </w:r>
    </w:p>
    <w:p>
      <w:pPr>
        <w:pStyle w:val="CadEENormalText"/>
        <w:numPr>
          <w:ilvl w:val="2"/>
          <w:numId w:val="1"/>
        </w:numPr>
      </w:pPr>
      <w:bookmarkStart w:id="26" w:name="CadEE_Target_26"/>
      <w:r>
        <w:t xml:space="preserve">Температуру точки роси визначаємо за умов, коли температура повітря θ_int дорівнює 20 °С, а відносна вологість становить 55%.</w:t>
      </w:r>
      <w:bookmarkEnd w:id="26"/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rPr>
                  <m:sty m:val="i"/>
                </m:rPr>
                <m:t>D</m:t>
              </m:r>
            </m:sub>
          </m:sSub>
          <m:r>
            <m:t>=</m:t>
          </m:r>
          <m:f>
            <m:num>
              <m:r>
                <m:t>237.7</m:t>
              </m:r>
              <m:r>
                <m:t>·</m:t>
              </m:r>
              <m:d>
                <m:dPr>
                  <m:begChr m:val="("/>
                  <m:endChr m:val=")"/>
                </m:dPr>
                <m:e>
                  <m:f>
                    <m:num>
                      <m:r>
                        <m:t>17.27</m:t>
                      </m:r>
                      <m:r>
                        <m:t>·</m:t>
                      </m:r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rPr>
                              <m:sty m:val="i"/>
                            </m:rPr>
                            <m:t>int</m:t>
                          </m:r>
                        </m:sub>
                      </m:sSub>
                    </m:num>
                    <m:den>
                      <m:d>
                        <m:dPr>
                          <m:begChr m:val="("/>
                          <m:endChr m:val=")"/>
                        </m:dPr>
                        <m:e>
                          <m:r>
                            <m:t>237.7</m:t>
                          </m:r>
                          <m:r>
                            <m:t>+</m:t>
                          </m:r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e>
                      </m:d>
                    </m:den>
                  </m:f>
                  <m:r>
                    <m:t>+</m:t>
                  </m:r>
                  <m:func>
                    <m:fName>
                      <m:r>
                        <m:t>ln</m:t>
                      </m:r>
                    </m:fName>
                    <m:e>
                      <m:f>
                        <m:num>
                          <m:sSub>
                            <m:e>
                              <m:r>
                                <m:t>φ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num>
                        <m:den>
                          <m:r>
                            <m:t>100</m:t>
                          </m:r>
                        </m:den>
                      </m:f>
                    </m:e>
                  </m:func>
                </m:e>
              </m:d>
            </m:num>
            <m:den>
              <m:d>
                <m:dPr>
                  <m:begChr m:val="("/>
                  <m:endChr m:val=")"/>
                </m:dPr>
                <m:e>
                  <m:r>
                    <m:t>17.27</m:t>
                  </m:r>
                  <m:r>
                    <m:t>−</m:t>
                  </m:r>
                  <m:d>
                    <m:dPr>
                      <m:begChr m:val="("/>
                      <m:endChr m:val=")"/>
                    </m:dPr>
                    <m:e>
                      <m:f>
                        <m:num>
                          <m:r>
                            <m:t>17.27</m:t>
                          </m:r>
                          <m:r>
                            <m:t>·</m:t>
                          </m:r>
                          <m:sSub>
                            <m:e>
                              <m:r>
                                <m:t>θ</m:t>
                              </m:r>
                            </m:e>
                            <m:sub>
                              <m:r>
                                <m:rPr>
                                  <m:sty m:val="i"/>
                                </m:rPr>
                                <m:t>int</m:t>
                              </m:r>
                            </m:sub>
                          </m:sSub>
                        </m:num>
                        <m:den>
                          <m:d>
                            <m:dPr>
                              <m:begChr m:val="("/>
                              <m:endChr m:val=")"/>
                            </m:dPr>
                            <m:e>
                              <m:r>
                                <m:t>237.7</m:t>
                              </m:r>
                              <m:r>
                                <m:t>+</m:t>
                              </m:r>
                              <m:sSub>
                                <m:e>
                                  <m:r>
                                    <m:t>θ</m:t>
                                  </m:r>
                                </m:e>
                                <m:sub>
                                  <m:r>
                                    <m:rPr>
                                      <m:sty m:val="i"/>
                                    </m:rPr>
                                    <m:t>int</m:t>
                                  </m:r>
                                </m:sub>
                              </m:sSub>
                            </m:e>
                          </m:d>
                        </m:den>
                      </m:f>
                      <m:r>
                        <m:t>+</m:t>
                      </m:r>
                      <m:func>
                        <m:fName>
                          <m:r>
                            <m:t>ln</m:t>
                          </m:r>
                        </m:fName>
                        <m:e>
                          <m:f>
                            <m:num>
                              <m:sSub>
                                <m:e>
                                  <m:r>
                                    <m:t>φ</m:t>
                                  </m:r>
                                </m:e>
                                <m:sub>
                                  <m:r>
                                    <m:rPr>
                                      <m:sty m:val="i"/>
                                    </m:rPr>
                                    <m:t>int</m:t>
                                  </m:r>
                                </m:sub>
                              </m:sSub>
                            </m:num>
                            <m:den>
                              <m:r>
                                <m:t>100</m:t>
                              </m:r>
                            </m:den>
                          </m:f>
                        </m:e>
                      </m:func>
                    </m:e>
                  </m:d>
                </m:e>
              </m:d>
            </m:den>
          </m:f>
          <m:r>
            <m:t>=</m:t>
          </m:r>
          <m:r>
            <m:t>10.68</m:t>
          </m:r>
          <m:r>
            <m:t>°С</m:t>
          </m:r>
        </m:oMath>
      </m:oMathPara>
    </w:p>
    <w:p>
      <w:pPr>
        <w:pStyle w:val="CadEENormalText"/>
        <w:numPr>
          <w:ilvl w:val="2"/>
          <w:numId w:val="1"/>
        </w:numPr>
      </w:pPr>
      <w:bookmarkStart w:id="28" w:name="CadEE_Target_28"/>
      <w:r>
        <w:t xml:space="preserve">Мінімально допустиме значення температури внутрішньої поверхні непрозорих огороджувальних конструкцій у зонах теплопровідних включень, θsi,min, у кутах і укосах віконних і дверних прорізів, прийнятому залежно від температурної зони експлуатації будівлі згідно з додатком А ДБН В.2.6-31:2021, повинно бути не менше ніж температура точки роси. Перевірка виконання вимог п. 5.5.1 ДБН В.2.6-31:2021</w:t>
      </w:r>
      <w:bookmarkEnd w:id="28"/>
    </w:p>
    <w:p>
      <w:pPr>
        <w:pStyle w:val="CadEENormalText"/>
      </w:pPr>
      <w:r>
        <w:t xml:space="preserve">Оскільки: </w:t>
      </w:r>
    </w:p>
    <w:p>
      <w:pPr>
        <w:pStyle w:val="CadEEEquationStyle"/>
      </w:pPr>
      <m:oMathPara>
        <m:oMath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t>=</m:t>
          </m:r>
          <m:r>
            <m:t>18.87</m:t>
          </m:r>
          <m:r>
            <m:t>°C</m:t>
          </m:r>
          <m:r>
            <m:t xml:space="preserve"> </m:t>
          </m:r>
          <m:r>
            <m:t>&gt;</m:t>
          </m:r>
          <m:r>
            <m:t xml:space="preserve"> </m:t>
          </m:r>
          <m:sSub>
            <m:e>
              <m:r>
                <m:t>θ</m:t>
              </m:r>
            </m:e>
            <m:sub>
              <m:r>
                <m:rPr>
                  <m:sty m:val="i"/>
                </m:rPr>
                <m:t>D</m:t>
              </m:r>
            </m:sub>
          </m:sSub>
          <m:r>
            <m:t>=</m:t>
          </m:r>
          <m:r>
            <m:t>10.68</m:t>
          </m:r>
          <m:r>
            <m:t>°C</m:t>
          </m:r>
        </m:oMath>
      </m:oMathPara>
    </w:p>
    <w:p>
      <w:pPr>
        <w:pStyle w:val="CadEENormalText"/>
      </w:pPr>
      <w:r>
        <w:t xml:space="preserve">то умова п. 5.5.1 ДБН В.2.6-31:2021 виконується.</w:t>
      </w:r>
    </w:p>
    <w:sectPr>
      <w:footerReference w:type="first" r:id="rId6"/>
      <w:footerReference w:type="default" r:id="rId7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температури точки роси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oter" Target="footer1.xml"/><Relationship Id="rId7" Type="http://schemas.openxmlformats.org/officeDocument/2006/relationships/footer" Target="footer2.xml"/></Relationships>
</file>