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m="http://schemas.openxmlformats.org/officeDocument/2006/math" xmlns:r="http://schemas.openxmlformats.org/officeDocument/2006/relationships" xmlns:wp="http://schemas.openxmlformats.org/drawingml/2006/wordprocessingDrawing" xmlns:w="http://schemas.openxmlformats.org/wordprocessingml/2006/main" xmlns:w14="http://schemas.microsoft.com/office/word/2010/wordml" xmlns:r14="http://schemas.microsoft.com/office/word/2010/relationships">
  <w:body>
    <w:p>
      <w:pPr>
        <w:pStyle w:val="CadEETableOfContentsTitle"/>
      </w:pPr>
      <w:r>
        <w:t xml:space="preserve">ЗМІСТ</w:t>
      </w:r>
    </w:p>
    <w:p>
      <w:r>
        <w:fldChar w:fldCharType="begin"/>
      </w:r>
      <w:r>
        <w:instrText xml:space="preserve"> TOC \\o "1-4" \\h \\z \\u </w:instrText>
      </w:r>
      <w:r>
        <w:fldChar w:fldCharType="separate"/>
      </w:r>
      <w:r>
        <w:t>Update field in Word.</w:t>
      </w:r>
      <w:r>
        <w:fldChar w:fldCharType="end"/>
      </w:r>
    </w:p>
    <w:p>
      <w:r>
        <w:br w:type="page"/>
      </w:r>
    </w:p>
    <w:p>
      <w:pPr>
        <w:pStyle w:val="CadEEDocumentTitle"/>
        <w:numPr>
          <w:ilvl w:val="0"/>
          <w:numId w:val="1"/>
        </w:numPr>
      </w:pPr>
      <w:bookmarkStart w:id="1" w:name="CadEE_Target_1"/>
      <w:r>
        <w:t xml:space="preserve">Перевірка огороджуючих конструкцій на відповідність вимогам ДБН В.2.6-31</w:t>
      </w:r>
      <w:bookmarkEnd w:id="1"/>
    </w:p>
    <w:p>
      <w:pPr>
        <w:pStyle w:val="CadEEHeadingLevel2"/>
        <w:numPr>
          <w:ilvl w:val="1"/>
          <w:numId w:val="1"/>
        </w:numPr>
      </w:pPr>
      <w:bookmarkStart w:id="2" w:name="CadEE_Target_2"/>
      <w:r>
        <w:t xml:space="preserve">Розрахунок термічного опору. стіна №1. </w:t>
      </w:r>
      <w:bookmarkEnd w:id="2"/>
    </w:p>
    <w:p>
      <w:pPr>
        <w:pStyle w:val="CadEENormalText"/>
      </w:pPr>
      <w:r>
        <w:t xml:space="preserve">Визначимо термічний опір фрагменту конструкції згідно з вимогами ДСТУ 9191:2022. </w:t>
      </w:r>
    </w:p>
    <w:p>
      <w:pPr>
        <w:pStyle w:val="CadEENormalText"/>
        <w:numPr>
          <w:ilvl w:val="2"/>
          <w:numId w:val="1"/>
        </w:numPr>
      </w:pPr>
      <w:bookmarkStart w:id="3" w:name="CadEE_Target_3"/>
      <w:r>
        <w:t xml:space="preserve">Опис конструкції. Загальна товщина конструкції складає 0.100 м. Кількість шарів конструкції - 2.  Шар №1 Спінений пінополістирол з густиною 15 кг/м3 та товщиною 0.050 м.  Шар №2 Спінений пінополістирол з густиною 15 кг/м3 та товщиною 0.050 м.  Шар №1 містить термічне включення Мінеральна вата (базальтове волокно) з густиною 30 кг/м3 з кроком 0.400 м, шириною 0.100 м та товщиною 0.050 м. </w:t>
      </w:r>
      <w:bookmarkEnd w:id="3"/>
    </w:p>
    <w:p>
      <w:pPr>
        <w:jc w:val="center"/>
      </w:pPr>
      <w:r>
        <w:rPr/>
        <w:drawing>
          <wp:inline distT="0" distB="0" distL="0" distR="0">
            <wp:extent cx="5400000" cy="2700000"/>
            <wp:docPr id="1" name="Image1"/>
            <a:graphic xmlns:a="http://schemas.openxmlformats.org/drawingml/2006/main">
              <a:graphicData uri="http://schemas.openxmlformats.org/drawingml/2006/picture">
                <pic:pic xmlns:pic="http://schemas.openxmlformats.org/drawingml/2006/picture">
                  <pic:nvPicPr>
                    <pic:cNvPr id="1" name="Image1"/>
                    <pic:cNvPicPr/>
                  </pic:nvPicPr>
                  <pic:blipFill>
                    <a:blip xmlns:r="http://schemas.openxmlformats.org/officeDocument/2006/relationships" r:embed="rId4"/>
                    <a:stretch>
                      <a:fillRect/>
                    </a:stretch>
                  </pic:blipFill>
                  <pic:spPr>
                    <a:xfrm>
                      <a:off x="0" y="0"/>
                      <a:ext cx="5400000" cy="2700000"/>
                    </a:xfrm>
                    <a:prstGeom prst="rect">
                      <a:avLst/>
                    </a:prstGeom>
                  </pic:spPr>
                </pic:pic>
              </a:graphicData>
            </a:graphic>
          </wp:inline>
        </w:drawing>
      </w:r>
    </w:p>
    <w:p>
      <w:pPr>
        <w:pStyle w:val="CadEEFigureCaption"/>
      </w:pPr>
      <w:r>
        <w:t xml:space="preserve">Рисунок </w:t>
      </w:r>
      <w:bookmarkStart w:id="4" w:name="CadEE_Target_4"/>
      <w:r>
        <w:fldChar w:fldCharType="begin"/>
      </w:r>
      <w:r>
        <w:instrText xml:space="preserve"> SEQ CadEE_Figure \* ARABIC </w:instrText>
      </w:r>
      <w:r>
        <w:fldChar w:fldCharType="separate"/>
      </w:r>
      <w:r>
        <w:t xml:space="preserve">1.1</w:t>
      </w:r>
      <w:r>
        <w:fldChar w:fldCharType="end"/>
      </w:r>
      <w:bookmarkEnd w:id="4"/>
      <w:r>
        <w:t xml:space="preserve">. Розріз огороджувальної конструкції</w:t>
      </w:r>
    </w:p>
    <w:p>
      <w:pPr>
        <w:pStyle w:val="CadEENormalText"/>
        <w:numPr>
          <w:ilvl w:val="2"/>
          <w:numId w:val="1"/>
        </w:numPr>
      </w:pPr>
      <w:bookmarkStart w:id="5" w:name="CadEE_Target_5"/>
      <w:r>
        <w:t xml:space="preserve">Вологісні умови експлуатації матеріалів огороджувальної конструкції визначено згідно з додатком Б ДБН В.2.6-31:2021 . Призначення будівлі - одноквартирний будинок, для якої згідно з т.Б.2 ДБН В.2.6-31:2021 розрахункові значення температури і вологості приміщень θ_int= 20 °С, φ_int= 55 % відповідно. Вологісний режим приміщень приймаємо згідно з т.Б.1 ДБН В.2.6-31:2021 - нормальний,а також враховуючи, що конструкція зовнішня, то умови експлуатації згідно з т.Б.3 ДБН В.2.6-31:2021 - Б.</w:t>
      </w:r>
      <w:bookmarkEnd w:id="5"/>
    </w:p>
    <w:p>
      <w:pPr>
        <w:pStyle w:val="CadEENormalText"/>
        <w:numPr>
          <w:ilvl w:val="2"/>
          <w:numId w:val="1"/>
        </w:numPr>
      </w:pPr>
      <w:bookmarkStart w:id="6" w:name="CadEE_Target_6"/>
      <w:r>
        <w:t xml:space="preserve">Розрахункові характеристики матеріалів конструкції визначаємо згідно з додатком А ДСТУ 9191:2022.</w:t>
      </w:r>
      <w:bookmarkEnd w:id="6"/>
    </w:p>
    <w:p>
      <w:pPr>
        <w:pStyle w:val="CadEETableCaption"/>
      </w:pPr>
      <w:r>
        <w:t xml:space="preserve">Таблиця №</w:t>
      </w:r>
      <w:bookmarkStart w:id="7" w:name="CadEE_Target_7"/>
      <w:r>
        <w:fldChar w:fldCharType="begin"/>
      </w:r>
      <w:r>
        <w:instrText xml:space="preserve"> SEQ CadEE_Table \* ARABIC </w:instrText>
      </w:r>
      <w:r>
        <w:fldChar w:fldCharType="separate"/>
      </w:r>
      <w:r>
        <w:t xml:space="preserve">1.1</w:t>
      </w:r>
      <w:r>
        <w:fldChar w:fldCharType="end"/>
      </w:r>
      <w:bookmarkEnd w:id="7"/>
      <w:r>
        <w:t xml:space="preserve">. Розрахункові характеристики матеріалів шарів конструкції</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608"/>
        <w:gridCol w:w="5472"/>
        <w:gridCol w:w="1824"/>
        <w:gridCol w:w="2432"/>
      </w:tblGrid>
      <w:tr>
        <w:trPr>
          <w:tblHeader/>
        </w:trPr>
        <w:tc>
          <w:tcPr>
            <w:tcW w:w="608" w:type="dxa"/>
            <w:vAlign w:val="center"/>
            <w:tcMar>
              <w:top w:w="60" w:type="dxa"/>
              <w:left w:w="70" w:type="dxa"/>
              <w:bottom w:w="60" w:type="dxa"/>
              <w:right w:w="70" w:type="dxa"/>
            </w:tcMar>
            <w:tcBorders>
              <w:bottom w:val="nil"/>
            </w:tcBorders>
            <w:shd w:val="clear" w:color="auto" w:fill="EDEDED"/>
          </w:tcPr>
          <w:p>
            <w:pPr>
              <w:pStyle w:val="CadEETableHeadStyle"/>
            </w:pPr>
            <w:r>
              <w:rPr>
                <w:b/>
              </w:rPr>
              <w:t>№</w:t>
            </w:r>
          </w:p>
        </w:tc>
        <w:tc>
          <w:tcPr>
            <w:tcW w:w="5472" w:type="dxa"/>
            <w:vAlign w:val="center"/>
            <w:tcMar>
              <w:top w:w="60" w:type="dxa"/>
              <w:left w:w="70" w:type="dxa"/>
              <w:bottom w:w="60" w:type="dxa"/>
              <w:right w:w="70" w:type="dxa"/>
            </w:tcMar>
            <w:tcBorders>
              <w:bottom w:val="nil"/>
            </w:tcBorders>
            <w:shd w:val="clear" w:color="auto" w:fill="EDEDED"/>
          </w:tcPr>
          <w:p>
            <w:pPr>
              <w:pStyle w:val="CadEETableHeadStyle"/>
            </w:pPr>
            <w:r>
              <w:rPr>
                <w:b/>
              </w:rPr>
              <w:t>Назва шару</w:t>
            </w:r>
          </w:p>
        </w:tc>
        <w:tc>
          <w:tcPr>
            <w:tcW w:w="1824" w:type="dxa"/>
            <w:vAlign w:val="center"/>
            <w:tcMar>
              <w:top w:w="60" w:type="dxa"/>
              <w:left w:w="70" w:type="dxa"/>
              <w:bottom w:w="60" w:type="dxa"/>
              <w:right w:w="70" w:type="dxa"/>
            </w:tcMar>
            <w:tcBorders>
              <w:bottom w:val="nil"/>
            </w:tcBorders>
            <w:shd w:val="clear" w:color="auto" w:fill="EDEDED"/>
          </w:tcPr>
          <w:p>
            <w:pPr>
              <w:pStyle w:val="CadEETableHeadStyle"/>
            </w:pPr>
            <w:r>
              <w:rPr>
                <w:b/>
              </w:rPr>
              <w:t>Товщина,</w:t>
            </w:r>
          </w:p>
        </w:tc>
        <w:tc>
          <w:tcPr>
            <w:tcW w:w="2432" w:type="dxa"/>
            <w:vAlign w:val="center"/>
            <w:tcMar>
              <w:top w:w="60" w:type="dxa"/>
              <w:left w:w="70" w:type="dxa"/>
              <w:bottom w:w="60" w:type="dxa"/>
              <w:right w:w="70" w:type="dxa"/>
            </w:tcMar>
            <w:tcBorders>
              <w:bottom w:val="nil"/>
            </w:tcBorders>
            <w:shd w:val="clear" w:color="auto" w:fill="EDEDED"/>
          </w:tcPr>
          <w:p>
            <w:pPr>
              <w:pStyle w:val="CadEETableHeadStyle"/>
            </w:pPr>
            <w:r>
              <w:rPr>
                <w:b/>
              </w:rPr>
              <w:t>Теплопровідність λ,</w:t>
            </w:r>
          </w:p>
        </w:tc>
      </w:tr>
      <w:tr>
        <w:trPr>
          <w:tblHeader/>
        </w:trPr>
        <w:tc>
          <w:tcPr>
            <w:tcW w:w="608"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5472"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1824" w:type="dxa"/>
            <w:vAlign w:val="center"/>
            <w:tcMar>
              <w:top w:w="60" w:type="dxa"/>
              <w:left w:w="70" w:type="dxa"/>
              <w:bottom w:w="60" w:type="dxa"/>
              <w:right w:w="70" w:type="dxa"/>
            </w:tcMar>
            <w:tcBorders>
              <w:top w:val="nil"/>
            </w:tcBorders>
            <w:shd w:val="clear" w:color="auto" w:fill="EDEDED"/>
          </w:tcPr>
          <w:p>
            <w:pPr>
              <w:pStyle w:val="CadEETableHeadStyle"/>
            </w:pPr>
            <w:r>
              <w:rPr>
                <w:b/>
              </w:rPr>
              <w:t>(м)</w:t>
            </w:r>
          </w:p>
        </w:tc>
        <w:tc>
          <w:tcPr>
            <w:tcW w:w="2432" w:type="dxa"/>
            <w:vAlign w:val="center"/>
            <w:tcMar>
              <w:top w:w="60" w:type="dxa"/>
              <w:left w:w="70" w:type="dxa"/>
              <w:bottom w:w="60" w:type="dxa"/>
              <w:right w:w="70" w:type="dxa"/>
            </w:tcMar>
            <w:tcBorders>
              <w:top w:val="nil"/>
            </w:tcBorders>
            <w:shd w:val="clear" w:color="auto" w:fill="EDEDED"/>
          </w:tcPr>
          <w:p>
            <w:pPr>
              <w:pStyle w:val="CadEETableHeadStyle"/>
            </w:pPr>
            <w:r>
              <w:rPr>
                <w:b/>
              </w:rPr>
              <w:t>Вт/(м²K)</w:t>
            </w:r>
          </w:p>
        </w:tc>
      </w:tr>
      <w:tr>
        <w:tc>
          <w:tcPr>
            <w:tcW w:w="608" w:type="dxa"/>
            <w:vAlign w:val="center"/>
            <w:tcMar>
              <w:top w:w="60" w:type="dxa"/>
              <w:left w:w="70" w:type="dxa"/>
              <w:bottom w:w="60" w:type="dxa"/>
              <w:right w:w="70" w:type="dxa"/>
            </w:tcMar>
          </w:tcPr>
          <w:p>
            <w:pPr>
              <w:pStyle w:val="CadEETableStyle"/>
            </w:pPr>
            <w:r>
              <w:t>1</w:t>
            </w:r>
          </w:p>
        </w:tc>
        <w:tc>
          <w:tcPr>
            <w:tcW w:w="5472" w:type="dxa"/>
            <w:vAlign w:val="center"/>
            <w:tcMar>
              <w:top w:w="60" w:type="dxa"/>
              <w:left w:w="70" w:type="dxa"/>
              <w:bottom w:w="60" w:type="dxa"/>
              <w:right w:w="70" w:type="dxa"/>
            </w:tcMar>
          </w:tcPr>
          <w:p>
            <w:pPr>
              <w:pStyle w:val="CadEETableStyle"/>
            </w:pPr>
            <w:r>
              <w:t>Спінений пінополістирол ρ=15 кг/м3</w:t>
            </w:r>
          </w:p>
        </w:tc>
        <w:tc>
          <w:tcPr>
            <w:tcW w:w="1824" w:type="dxa"/>
            <w:vAlign w:val="center"/>
            <w:tcMar>
              <w:top w:w="60" w:type="dxa"/>
              <w:left w:w="70" w:type="dxa"/>
              <w:bottom w:w="60" w:type="dxa"/>
              <w:right w:w="70" w:type="dxa"/>
            </w:tcMar>
          </w:tcPr>
          <w:p>
            <w:pPr>
              <w:pStyle w:val="CadEETableStyle"/>
            </w:pPr>
            <w:r>
              <w:t>0.05</w:t>
            </w:r>
          </w:p>
        </w:tc>
        <w:tc>
          <w:tcPr>
            <w:tcW w:w="2432" w:type="dxa"/>
            <w:vAlign w:val="center"/>
            <w:tcMar>
              <w:top w:w="60" w:type="dxa"/>
              <w:left w:w="70" w:type="dxa"/>
              <w:bottom w:w="60" w:type="dxa"/>
              <w:right w:w="70" w:type="dxa"/>
            </w:tcMar>
          </w:tcPr>
          <w:p>
            <w:pPr>
              <w:pStyle w:val="CadEETableStyle"/>
            </w:pPr>
            <w:r>
              <w:t>0.055</w:t>
            </w:r>
          </w:p>
        </w:tc>
      </w:tr>
      <w:tr>
        <w:tc>
          <w:tcPr>
            <w:tcW w:w="608" w:type="dxa"/>
            <w:vAlign w:val="center"/>
            <w:tcMar>
              <w:top w:w="60" w:type="dxa"/>
              <w:left w:w="70" w:type="dxa"/>
              <w:bottom w:w="60" w:type="dxa"/>
              <w:right w:w="70" w:type="dxa"/>
            </w:tcMar>
          </w:tcPr>
          <w:p>
            <w:pPr>
              <w:pStyle w:val="CadEETableStyle"/>
            </w:pPr>
            <w:r>
              <w:t>2</w:t>
            </w:r>
          </w:p>
        </w:tc>
        <w:tc>
          <w:tcPr>
            <w:tcW w:w="5472" w:type="dxa"/>
            <w:vAlign w:val="center"/>
            <w:tcMar>
              <w:top w:w="60" w:type="dxa"/>
              <w:left w:w="70" w:type="dxa"/>
              <w:bottom w:w="60" w:type="dxa"/>
              <w:right w:w="70" w:type="dxa"/>
            </w:tcMar>
          </w:tcPr>
          <w:p>
            <w:pPr>
              <w:pStyle w:val="CadEETableStyle"/>
            </w:pPr>
            <w:r>
              <w:t>Спінений пінополістирол ρ=15 кг/м3</w:t>
            </w:r>
          </w:p>
        </w:tc>
        <w:tc>
          <w:tcPr>
            <w:tcW w:w="1824" w:type="dxa"/>
            <w:vAlign w:val="center"/>
            <w:tcMar>
              <w:top w:w="60" w:type="dxa"/>
              <w:left w:w="70" w:type="dxa"/>
              <w:bottom w:w="60" w:type="dxa"/>
              <w:right w:w="70" w:type="dxa"/>
            </w:tcMar>
          </w:tcPr>
          <w:p>
            <w:pPr>
              <w:pStyle w:val="CadEETableStyle"/>
            </w:pPr>
            <w:r>
              <w:t>0.05</w:t>
            </w:r>
          </w:p>
        </w:tc>
        <w:tc>
          <w:tcPr>
            <w:tcW w:w="2432" w:type="dxa"/>
            <w:vAlign w:val="center"/>
            <w:tcMar>
              <w:top w:w="60" w:type="dxa"/>
              <w:left w:w="70" w:type="dxa"/>
              <w:bottom w:w="60" w:type="dxa"/>
              <w:right w:w="70" w:type="dxa"/>
            </w:tcMar>
          </w:tcPr>
          <w:p>
            <w:pPr>
              <w:pStyle w:val="CadEETableStyle"/>
            </w:pPr>
            <w:r>
              <w:t>0.055</w:t>
            </w:r>
          </w:p>
        </w:tc>
      </w:tr>
    </w:tbl>
    <w:p>
      <w:pPr>
        <w:spacing w:before="0" w:after="0" w:line="80" w:lineRule="exact"/>
      </w:pPr>
    </w:p>
    <w:p>
      <w:pPr>
        <w:pStyle w:val="CadEENormalText"/>
        <w:numPr>
          <w:ilvl w:val="2"/>
          <w:numId w:val="1"/>
        </w:numPr>
      </w:pPr>
      <w:bookmarkStart w:id="8" w:name="CadEE_Target_8"/>
      <w:r>
        <w:t xml:space="preserve">Коефіцієнти тепловіддачі визначаємо згідно з таблицею Б додатку Б ДСТУ 9191:2022. Для конструкції типу - стіна, розрахункові значення коефіцієнтів тепловіддачі внутрішньої  та зовнішньої поверхонь огороджувальних конструкцій прийнято:</w:t>
      </w:r>
      <w:bookmarkEnd w:id="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h</m:t>
                    </m:r>
                  </m:e>
                  <m:sub>
                    <m:r>
                      <m:rPr>
                        <m:sty m:val="i"/>
                      </m:rPr>
                      <m:t>si</m:t>
                    </m:r>
                  </m:sub>
                </m:sSub>
                <m:r>
                  <m:t>=</m:t>
                </m:r>
                <m:r>
                  <m:t>8.7</m:t>
                </m:r>
                <m:f>
                  <m:num>
                    <m:r>
                      <m:t>Вт</m:t>
                    </m:r>
                  </m:num>
                  <m:den>
                    <m:sSup>
                      <m:e>
                        <m:r>
                          <m:t>м</m:t>
                        </m:r>
                      </m:e>
                      <m:sup>
                        <m:r>
                          <m:t>2</m:t>
                        </m:r>
                      </m:sup>
                    </m:sSup>
                    <m:r>
                      <m:t>·</m:t>
                    </m:r>
                    <m:r>
                      <m:t>К</m:t>
                    </m:r>
                  </m:den>
                </m:f>
                <m:r>
                  <m:t xml:space="preserve"> </m:t>
                </m:r>
                <m:sSub>
                  <m:e>
                    <m:r>
                      <m:rPr>
                        <m:sty m:val="i"/>
                      </m:rPr>
                      <m:t>h</m:t>
                    </m:r>
                  </m:e>
                  <m:sub>
                    <m:r>
                      <m:rPr>
                        <m:sty m:val="i"/>
                      </m:rPr>
                      <m:t>se</m:t>
                    </m:r>
                  </m:sub>
                </m:sSub>
                <m:r>
                  <m:t>=</m:t>
                </m:r>
                <m:r>
                  <m:t>23</m:t>
                </m:r>
                <m:f>
                  <m:num>
                    <m:r>
                      <m:t>Вт</m:t>
                    </m:r>
                  </m:num>
                  <m:den>
                    <m:sSup>
                      <m:e>
                        <m:r>
                          <m:t>м</m:t>
                        </m:r>
                      </m:e>
                      <m:sup>
                        <m:r>
                          <m:t>2</m:t>
                        </m:r>
                      </m:sup>
                    </m:sSup>
                    <m:r>
                      <m:t>·</m:t>
                    </m:r>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 w:name="CadEE_Target_9"/>
            <w:r>
              <w:fldChar w:fldCharType="begin"/>
            </w:r>
            <w:r>
              <w:instrText xml:space="preserve"> SEQ CadEE_Formula \* ARABIC </w:instrText>
            </w:r>
            <w:r>
              <w:fldChar w:fldCharType="separate"/>
            </w:r>
            <w:r>
              <w:t xml:space="preserve">1</w:t>
            </w:r>
            <w:r>
              <w:fldChar w:fldCharType="end"/>
            </w:r>
            <w:bookmarkEnd w:id="9"/>
            <w:r>
              <w:t>)</w:t>
            </w:r>
          </w:p>
        </w:tc>
      </w:tr>
    </w:tbl>
    <w:p>
      <w:pPr>
        <w:pStyle w:val="CadEENormalText"/>
        <w:numPr>
          <w:ilvl w:val="2"/>
          <w:numId w:val="1"/>
        </w:numPr>
      </w:pPr>
      <w:bookmarkStart w:id="10" w:name="CadEE_Target_10"/>
      <w:r>
        <w:t xml:space="preserve">Визначаємо опір теплопередачі конструкції згідно з формулою 2 ДСТУ 9191:2022:</w:t>
      </w:r>
      <w:bookmarkEnd w:id="1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r>
                      <m:rPr>
                        <m:sty m:val="i"/>
                      </m:rPr>
                      <m:t>s</m:t>
                    </m:r>
                  </m:sub>
                </m:sSub>
                <m:r>
                  <m:t>=</m:t>
                </m:r>
                <m:f>
                  <m:num>
                    <m:r>
                      <m:t>1</m:t>
                    </m:r>
                  </m:num>
                  <m:den>
                    <m:sSub>
                      <m:e>
                        <m:r>
                          <m:rPr>
                            <m:sty m:val="i"/>
                          </m:rPr>
                          <m:t>h</m:t>
                        </m:r>
                      </m:e>
                      <m:sub>
                        <m:r>
                          <m:rPr>
                            <m:sty m:val="i"/>
                          </m:rPr>
                          <m:t>si</m:t>
                        </m:r>
                      </m:sub>
                    </m:sSub>
                  </m:den>
                </m:f>
                <m:r>
                  <m:t>+</m:t>
                </m:r>
                <m:f>
                  <m:num>
                    <m:sSub>
                      <m:e>
                        <m:r>
                          <m:rPr>
                            <m:sty m:val="i"/>
                          </m:rPr>
                          <m:t>d</m:t>
                        </m:r>
                      </m:e>
                      <m:sub>
                        <m:r>
                          <m:t>1</m:t>
                        </m:r>
                      </m:sub>
                    </m:sSub>
                  </m:num>
                  <m:den>
                    <m:sSub>
                      <m:e>
                        <m:r>
                          <m:t>λ</m:t>
                        </m:r>
                      </m:e>
                      <m:sub>
                        <m:sSub>
                          <m:e>
                            <m:r>
                              <m:t>р</m:t>
                            </m:r>
                          </m:e>
                          <m:sub>
                            <m:r>
                              <m:t>1</m:t>
                            </m:r>
                          </m:sub>
                        </m:sSub>
                      </m:sub>
                    </m:sSub>
                  </m:den>
                </m:f>
                <m:r>
                  <m:t>+</m:t>
                </m:r>
                <m:f>
                  <m:num>
                    <m:sSub>
                      <m:e>
                        <m:r>
                          <m:rPr>
                            <m:sty m:val="i"/>
                          </m:rPr>
                          <m:t>d</m:t>
                        </m:r>
                      </m:e>
                      <m:sub>
                        <m:r>
                          <m:t>2</m:t>
                        </m:r>
                      </m:sub>
                    </m:sSub>
                  </m:num>
                  <m:den>
                    <m:sSub>
                      <m:e>
                        <m:r>
                          <m:t>λ</m:t>
                        </m:r>
                      </m:e>
                      <m:sub>
                        <m:sSub>
                          <m:e>
                            <m:r>
                              <m:t>р</m:t>
                            </m:r>
                          </m:e>
                          <m:sub>
                            <m:r>
                              <m:t>2</m:t>
                            </m:r>
                          </m:sub>
                        </m:sSub>
                      </m:sub>
                    </m:sSub>
                  </m:den>
                </m:f>
                <m:r>
                  <m:t>+</m:t>
                </m:r>
                <m:f>
                  <m:num>
                    <m:r>
                      <m:t>1</m:t>
                    </m:r>
                  </m:num>
                  <m:den>
                    <m:sSub>
                      <m:e>
                        <m:r>
                          <m:rPr>
                            <m:sty m:val="i"/>
                          </m:rPr>
                          <m:t>h</m:t>
                        </m:r>
                      </m:e>
                      <m:sub>
                        <m:r>
                          <m:rPr>
                            <m:sty m:val="i"/>
                          </m:rPr>
                          <m:t>se</m:t>
                        </m:r>
                      </m:sub>
                    </m:sSub>
                  </m:den>
                </m:f>
                <m:r>
                  <m:t>=</m:t>
                </m:r>
                <m:f>
                  <m:num>
                    <m:r>
                      <m:t>1</m:t>
                    </m:r>
                  </m:num>
                  <m:den>
                    <m:r>
                      <m:t>8.7</m:t>
                    </m:r>
                  </m:den>
                </m:f>
                <m:r>
                  <m:t>+</m:t>
                </m:r>
                <m:f>
                  <m:num>
                    <m:r>
                      <m:t>0.05</m:t>
                    </m:r>
                  </m:num>
                  <m:den>
                    <m:r>
                      <m:t>0.055</m:t>
                    </m:r>
                  </m:den>
                </m:f>
                <m:r>
                  <m:t>+</m:t>
                </m:r>
                <m:f>
                  <m:num>
                    <m:r>
                      <m:t>0.05</m:t>
                    </m:r>
                  </m:num>
                  <m:den>
                    <m:r>
                      <m:t>0.055</m:t>
                    </m:r>
                  </m:den>
                </m:f>
                <m:r>
                  <m:t>+</m:t>
                </m:r>
                <m:f>
                  <m:num>
                    <m:r>
                      <m:t>1</m:t>
                    </m:r>
                  </m:num>
                  <m:den>
                    <m:r>
                      <m:t>23</m:t>
                    </m:r>
                  </m:den>
                </m:f>
                <m:r>
                  <m:t>=</m:t>
                </m:r>
                <m:r>
                  <m:t>1.977</m:t>
                </m:r>
                <m:r>
                  <m:t xml:space="preserve"> </m:t>
                </m:r>
                <m:f>
                  <m:num>
                    <m:sSup>
                      <m:e>
                        <m:r>
                          <m:t>м</m:t>
                        </m:r>
                      </m:e>
                      <m:sup>
                        <m:r>
                          <m:t>2</m:t>
                        </m:r>
                      </m:sup>
                    </m:sSup>
                    <m:r>
                      <m:t>·</m:t>
                    </m:r>
                    <m:r>
                      <m:rPr>
                        <m:sty m:val="i"/>
                      </m:rPr>
                      <m:t>K</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 w:name="CadEE_Target_11"/>
            <w:r>
              <w:fldChar w:fldCharType="begin"/>
            </w:r>
            <w:r>
              <w:instrText xml:space="preserve"> SEQ CadEE_Formula \* ARABIC </w:instrText>
            </w:r>
            <w:r>
              <w:fldChar w:fldCharType="separate"/>
            </w:r>
            <w:r>
              <w:t xml:space="preserve">2</w:t>
            </w:r>
            <w:r>
              <w:fldChar w:fldCharType="end"/>
            </w:r>
            <w:bookmarkEnd w:id="11"/>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si</w:t>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se</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d</w:t>
      </w:r>
      <w:r>
        <w:rPr>
          <w:rFonts w:ascii="Cambria Math" w:hAnsi="Cambria Math" w:eastAsia="Cambria Math" w:cs="Cambria Math"/>
          <w:vertAlign w:val="subscript"/>
        </w:rPr>
        <w:t xml:space="preserve">1</w:t>
      </w:r>
      <w:r>
        <w:t xml:space="preserve">, </w:t>
      </w:r>
      <w:r>
        <w:rPr>
          <w:rFonts w:ascii="Cambria Math" w:hAnsi="Cambria Math" w:eastAsia="Cambria Math" w:cs="Cambria Math"/>
        </w:rPr>
        <w:t xml:space="preserve">d</w:t>
      </w:r>
      <w:r>
        <w:rPr>
          <w:rFonts w:ascii="Cambria Math" w:hAnsi="Cambria Math" w:eastAsia="Cambria Math" w:cs="Cambria Math"/>
          <w:vertAlign w:val="subscript"/>
        </w:rPr>
        <w:t xml:space="preserve">2</w:t>
      </w:r>
      <w:r>
        <w:t xml:space="preserve"> - товщина шару огороджувальної конструкції, див. п. </w:t>
      </w:r>
      <w:r>
        <w:fldChar w:fldCharType="begin"/>
      </w:r>
      <w:r>
        <w:instrText xml:space="preserve"> REF CadEE_Target_1 \n \h </w:instrText>
      </w:r>
      <w:r>
        <w:fldChar w:fldCharType="separate"/>
      </w:r>
      <w:r>
        <w:t xml:space="preserve">1</w:t>
      </w:r>
      <w:r>
        <w:fldChar w:fldCharType="end"/>
      </w:r>
      <w:r>
        <w:t xml:space="preserve">,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λ</w:t>
      </w:r>
      <w:r>
        <w:rPr>
          <w:rFonts w:ascii="Cambria Math" w:hAnsi="Cambria Math" w:eastAsia="Cambria Math" w:cs="Cambria Math"/>
          <w:vertAlign w:val="subscript"/>
        </w:rPr>
        <w:t xml:space="preserve">р1</w:t>
      </w:r>
      <w:r>
        <w:t xml:space="preserve">, </w:t>
      </w:r>
      <w:r>
        <w:rPr>
          <w:rFonts w:ascii="Cambria Math" w:hAnsi="Cambria Math" w:eastAsia="Cambria Math" w:cs="Cambria Math"/>
        </w:rPr>
        <w:t xml:space="preserve">λ</w:t>
      </w:r>
      <w:r>
        <w:rPr>
          <w:rFonts w:ascii="Cambria Math" w:hAnsi="Cambria Math" w:eastAsia="Cambria Math" w:cs="Cambria Math"/>
          <w:vertAlign w:val="subscript"/>
        </w:rPr>
        <w:t xml:space="preserve">р2</w:t>
      </w:r>
      <w:r>
        <w:t xml:space="preserve"> - розрахункова теплопровідність матеріалу шару, див. п. </w:t>
      </w:r>
      <w:r>
        <w:fldChar w:fldCharType="begin"/>
      </w:r>
      <w:r>
        <w:instrText xml:space="preserve"> REF CadEE_Target_1 \n \h </w:instrText>
      </w:r>
      <w:r>
        <w:fldChar w:fldCharType="separate"/>
      </w:r>
      <w:r>
        <w:t xml:space="preserve">1</w:t>
      </w:r>
      <w:r>
        <w:fldChar w:fldCharType="end"/>
      </w:r>
      <w:r>
        <w:t xml:space="preserve">,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12" w:name="CadEE_Target_12"/>
      <w:r>
        <w:t xml:space="preserve">Загальна площа огороджувальної конструкції, обчислена за внутрішнім виміром із додаванням площ внутрішніх укосів прорізів та відніманням площ прорізів та площа термічно однорідної частини непрозорої конструкції, що не містить площі внутрішніх укосів прорізів дорівнюють відповідно:</w:t>
      </w:r>
      <w:bookmarkEnd w:id="1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A</m:t>
                    </m:r>
                  </m:e>
                  <m:sub>
                    <m:r>
                      <m:t>Σ</m:t>
                    </m:r>
                  </m:sub>
                </m:sSub>
                <m:r>
                  <m:t>=</m:t>
                </m:r>
                <m:r>
                  <m:t>1</m:t>
                </m:r>
                <m:sSup>
                  <m:e>
                    <m:r>
                      <m:t>м</m:t>
                    </m:r>
                  </m:e>
                  <m:sup>
                    <m:r>
                      <m:t>2</m:t>
                    </m:r>
                  </m:sup>
                </m:sSup>
                <m:r>
                  <m:t xml:space="preserve"> </m:t>
                </m:r>
                <m:sSub>
                  <m:e>
                    <m:r>
                      <m:rPr>
                        <m:sty m:val="i"/>
                      </m:rPr>
                      <m:t>A</m:t>
                    </m:r>
                  </m:e>
                  <m:sub>
                    <m:r>
                      <m:t>1</m:t>
                    </m:r>
                  </m:sub>
                </m:sSub>
                <m:r>
                  <m:t>=</m:t>
                </m:r>
                <m:r>
                  <m:t>1</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 w:name="CadEE_Target_13"/>
            <w:r>
              <w:fldChar w:fldCharType="begin"/>
            </w:r>
            <w:r>
              <w:instrText xml:space="preserve"> SEQ CadEE_Formula \* ARABIC </w:instrText>
            </w:r>
            <w:r>
              <w:fldChar w:fldCharType="separate"/>
            </w:r>
            <w:r>
              <w:t xml:space="preserve">3</w:t>
            </w:r>
            <w:r>
              <w:fldChar w:fldCharType="end"/>
            </w:r>
            <w:bookmarkEnd w:id="13"/>
            <w:r>
              <w:t>)</w:t>
            </w:r>
          </w:p>
        </w:tc>
      </w:tr>
    </w:tbl>
    <w:p>
      <w:pPr>
        <w:pStyle w:val="CadEENormalText"/>
        <w:numPr>
          <w:ilvl w:val="2"/>
          <w:numId w:val="1"/>
        </w:numPr>
      </w:pPr>
      <w:bookmarkStart w:id="14" w:name="CadEE_Target_14"/>
      <w:r>
        <w:t xml:space="preserve">Визначаємо довжину лінійного термічного включення для автоматично сформованого вузла "Стіна з термовключеннями":</w:t>
      </w:r>
      <w:bookmarkEnd w:id="1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b</m:t>
                        </m:r>
                      </m:e>
                      <m:sub>
                        <m:r>
                          <m:rPr>
                            <m:sty m:val="i"/>
                          </m:rPr>
                          <m:t>auto</m:t>
                        </m:r>
                      </m:sub>
                    </m:sSub>
                  </m:e>
                  <m:sub>
                    <m:r>
                      <m:t>1</m:t>
                    </m:r>
                  </m:sub>
                </m:sSub>
                <m:r>
                  <m:t>=</m:t>
                </m:r>
                <m:r>
                  <m:t>0.8</m:t>
                </m:r>
                <m:r>
                  <m:t>м</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 w:name="CadEE_Target_15"/>
            <w:r>
              <w:fldChar w:fldCharType="begin"/>
            </w:r>
            <w:r>
              <w:instrText xml:space="preserve"> SEQ CadEE_Formula \* ARABIC </w:instrText>
            </w:r>
            <w:r>
              <w:fldChar w:fldCharType="separate"/>
            </w:r>
            <w:r>
              <w:t xml:space="preserve">4</w:t>
            </w:r>
            <w:r>
              <w:fldChar w:fldCharType="end"/>
            </w:r>
            <w:bookmarkEnd w:id="15"/>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l</m:t>
                    </m:r>
                  </m:e>
                  <m:sub>
                    <m:r>
                      <m:t>1</m:t>
                    </m:r>
                  </m:sub>
                </m:sSub>
                <m:r>
                  <m:t>=</m:t>
                </m:r>
                <m:f>
                  <m:num>
                    <m:sSub>
                      <m:e>
                        <m:r>
                          <m:rPr>
                            <m:sty m:val="i"/>
                          </m:rPr>
                          <m:t>A</m:t>
                        </m:r>
                      </m:e>
                      <m:sub>
                        <m:r>
                          <m:t>Σ</m:t>
                        </m:r>
                      </m:sub>
                    </m:sSub>
                  </m:num>
                  <m:den>
                    <m:sSub>
                      <m:e>
                        <m:sSub>
                          <m:e>
                            <m:r>
                              <m:rPr>
                                <m:sty m:val="i"/>
                              </m:rPr>
                              <m:t>b</m:t>
                            </m:r>
                          </m:e>
                          <m:sub>
                            <m:r>
                              <m:rPr>
                                <m:sty m:val="i"/>
                              </m:rPr>
                              <m:t>auto</m:t>
                            </m:r>
                          </m:sub>
                        </m:sSub>
                      </m:e>
                      <m:sub>
                        <m:r>
                          <m:t>1</m:t>
                        </m:r>
                      </m:sub>
                    </m:sSub>
                  </m:den>
                </m:f>
                <m:r>
                  <m:t>=</m:t>
                </m:r>
                <m:f>
                  <m:num>
                    <m:r>
                      <m:t>1</m:t>
                    </m:r>
                  </m:num>
                  <m:den>
                    <m:r>
                      <m:t>0.8</m:t>
                    </m:r>
                  </m:den>
                </m:f>
                <m:r>
                  <m:t>=</m:t>
                </m:r>
                <m:r>
                  <m:t>1.25</m:t>
                </m:r>
                <m:r>
                  <m:t xml:space="preserve"> </m:t>
                </m:r>
                <m:r>
                  <m:t>м</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 w:name="CadEE_Target_16"/>
            <w:r>
              <w:fldChar w:fldCharType="begin"/>
            </w:r>
            <w:r>
              <w:instrText xml:space="preserve"> SEQ CadEE_Formula \* ARABIC </w:instrText>
            </w:r>
            <w:r>
              <w:fldChar w:fldCharType="separate"/>
            </w:r>
            <w:r>
              <w:t xml:space="preserve">5</w:t>
            </w:r>
            <w:r>
              <w:fldChar w:fldCharType="end"/>
            </w:r>
            <w:bookmarkEnd w:id="16"/>
            <w:r>
              <w:t>)</w:t>
            </w:r>
          </w:p>
        </w:tc>
      </w:tr>
    </w:tbl>
    <w:p>
      <w:pPr>
        <w:pStyle w:val="CadEENormalText"/>
      </w:pPr>
      <w:r>
        <w:t xml:space="preserve">де </w:t>
      </w:r>
      <w:r>
        <w:rPr>
          <w:rFonts w:ascii="Cambria Math" w:hAnsi="Cambria Math" w:eastAsia="Cambria Math" w:cs="Cambria Math"/>
        </w:rPr>
        <w:t xml:space="preserve">A</w:t>
      </w:r>
      <w:r>
        <w:rPr>
          <w:rFonts w:ascii="Cambria Math" w:hAnsi="Cambria Math" w:eastAsia="Cambria Math" w:cs="Cambria Math"/>
          <w:vertAlign w:val="subscript"/>
        </w:rPr>
        <w:t xml:space="preserve">Σ</w:t>
      </w:r>
      <w:r>
        <w:t xml:space="preserve"> - загальна площа огороджувальної конструкції,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b</w:t>
      </w:r>
      <w:r>
        <w:rPr>
          <w:rFonts w:ascii="Cambria Math" w:hAnsi="Cambria Math" w:eastAsia="Cambria Math" w:cs="Cambria Math"/>
          <w:vertAlign w:val="subscript"/>
        </w:rPr>
        <w:t xml:space="preserve">auto 1</w:t>
      </w:r>
      <w:r>
        <w:t xml:space="preserve"> - ширина автоматично сформованого термічного включення,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17" w:name="CadEE_Target_17"/>
      <w:r>
        <w:t xml:space="preserve">На фрагменті, що розглядається, присутні теплопровідні включення, що відносяться до непрозорої огороджувальної конструкції.</w:t>
      </w:r>
      <w:bookmarkEnd w:id="17"/>
    </w:p>
    <w:p>
      <w:pPr>
        <w:pStyle w:val="CadEETableCaption"/>
      </w:pPr>
      <w:r>
        <w:t xml:space="preserve">Таблиця №</w:t>
      </w:r>
      <w:bookmarkStart w:id="18" w:name="CadEE_Target_18"/>
      <w:r>
        <w:fldChar w:fldCharType="begin"/>
      </w:r>
      <w:r>
        <w:instrText xml:space="preserve"> SEQ CadEE_Table \* ARABIC </w:instrText>
      </w:r>
      <w:r>
        <w:fldChar w:fldCharType="separate"/>
      </w:r>
      <w:r>
        <w:t xml:space="preserve">1.2</w:t>
      </w:r>
      <w:r>
        <w:fldChar w:fldCharType="end"/>
      </w:r>
      <w:bookmarkEnd w:id="18"/>
      <w:r>
        <w:t xml:space="preserve">. Теплопровідні включення та їх кількісне вираження</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608"/>
        <w:gridCol w:w="3648"/>
        <w:gridCol w:w="1216"/>
        <w:gridCol w:w="1216"/>
        <w:gridCol w:w="1824"/>
        <w:gridCol w:w="1824"/>
      </w:tblGrid>
      <w:tr>
        <w:trPr>
          <w:tblHeader/>
        </w:trPr>
        <w:tc>
          <w:tcPr>
            <w:tcW w:w="608" w:type="dxa"/>
            <w:vAlign w:val="center"/>
            <w:tcMar>
              <w:top w:w="60" w:type="dxa"/>
              <w:left w:w="70" w:type="dxa"/>
              <w:bottom w:w="60" w:type="dxa"/>
              <w:right w:w="70" w:type="dxa"/>
            </w:tcMar>
            <w:tcBorders>
              <w:bottom w:val="nil"/>
            </w:tcBorders>
            <w:shd w:val="clear" w:color="auto" w:fill="EDEDED"/>
          </w:tcPr>
          <w:p>
            <w:pPr>
              <w:pStyle w:val="CadEETableHeadStyle"/>
            </w:pPr>
            <w:r>
              <w:rPr>
                <w:b/>
              </w:rPr>
              <w:t>№</w:t>
            </w:r>
          </w:p>
        </w:tc>
        <w:tc>
          <w:tcPr>
            <w:tcW w:w="3648" w:type="dxa"/>
            <w:vAlign w:val="center"/>
            <w:tcMar>
              <w:top w:w="60" w:type="dxa"/>
              <w:left w:w="70" w:type="dxa"/>
              <w:bottom w:w="60" w:type="dxa"/>
              <w:right w:w="70" w:type="dxa"/>
            </w:tcMar>
            <w:tcBorders>
              <w:bottom w:val="nil"/>
            </w:tcBorders>
            <w:shd w:val="clear" w:color="auto" w:fill="EDEDED"/>
          </w:tcPr>
          <w:p>
            <w:pPr>
              <w:pStyle w:val="CadEETableHeadStyle"/>
            </w:pPr>
            <w:r>
              <w:rPr>
                <w:b/>
              </w:rPr>
              <w:t>Найменування теплопровідного включення</w:t>
            </w:r>
          </w:p>
        </w:tc>
        <w:tc>
          <w:tcPr>
            <w:tcW w:w="1216" w:type="dxa"/>
            <w:vAlign w:val="center"/>
            <w:tcMar>
              <w:top w:w="60" w:type="dxa"/>
              <w:left w:w="70" w:type="dxa"/>
              <w:bottom w:w="60" w:type="dxa"/>
              <w:right w:w="70" w:type="dxa"/>
            </w:tcMar>
            <w:tcBorders>
              <w:bottom w:val="nil"/>
            </w:tcBorders>
            <w:shd w:val="clear" w:color="auto" w:fill="EDEDED"/>
          </w:tcPr>
          <w:p>
            <w:pPr>
              <w:pStyle w:val="CadEETableHeadStyle"/>
            </w:pPr>
            <w:r>
              <w:rPr>
                <w:b/>
              </w:rPr>
              <w:t>Протяжність,</w:t>
            </w:r>
          </w:p>
        </w:tc>
        <w:tc>
          <w:tcPr>
            <w:tcW w:w="1216" w:type="dxa"/>
            <w:vAlign w:val="center"/>
            <w:tcMar>
              <w:top w:w="60" w:type="dxa"/>
              <w:left w:w="70" w:type="dxa"/>
              <w:bottom w:w="60" w:type="dxa"/>
              <w:right w:w="70" w:type="dxa"/>
            </w:tcMar>
            <w:tcBorders>
              <w:bottom w:val="nil"/>
            </w:tcBorders>
            <w:shd w:val="clear" w:color="auto" w:fill="EDEDED"/>
          </w:tcPr>
          <w:p>
            <w:pPr>
              <w:pStyle w:val="CadEETableHeadStyle"/>
            </w:pPr>
            <w:r>
              <w:rPr>
                <w:b/>
              </w:rPr>
              <w:t>Кількість, </w:t>
            </w:r>
          </w:p>
        </w:tc>
        <w:tc>
          <w:tcPr>
            <w:tcW w:w="1824" w:type="dxa"/>
            <w:vAlign w:val="center"/>
            <w:tcMar>
              <w:top w:w="60" w:type="dxa"/>
              <w:left w:w="70" w:type="dxa"/>
              <w:bottom w:w="60" w:type="dxa"/>
              <w:right w:w="70" w:type="dxa"/>
            </w:tcMar>
            <w:tcBorders>
              <w:bottom w:val="nil"/>
            </w:tcBorders>
            <w:shd w:val="clear" w:color="auto" w:fill="EDEDED"/>
          </w:tcPr>
          <w:p>
            <w:pPr>
              <w:pStyle w:val="CadEETableHeadStyle"/>
            </w:pPr>
            <w:r>
              <w:rPr>
                <w:b/>
              </w:rPr>
              <w:t>Лінійний коефіцієнт теплопередачі Ψ,</w:t>
            </w:r>
          </w:p>
        </w:tc>
        <w:tc>
          <w:tcPr>
            <w:tcW w:w="1824" w:type="dxa"/>
            <w:vAlign w:val="center"/>
            <w:tcMar>
              <w:top w:w="60" w:type="dxa"/>
              <w:left w:w="70" w:type="dxa"/>
              <w:bottom w:w="60" w:type="dxa"/>
              <w:right w:w="70" w:type="dxa"/>
            </w:tcMar>
            <w:tcBorders>
              <w:bottom w:val="nil"/>
            </w:tcBorders>
            <w:shd w:val="clear" w:color="auto" w:fill="EDEDED"/>
          </w:tcPr>
          <w:p>
            <w:pPr>
              <w:pStyle w:val="CadEETableHeadStyle"/>
            </w:pPr>
            <w:r>
              <w:rPr>
                <w:b/>
              </w:rPr>
              <w:t>Точковий коефіцієнт теплопередачі χ,</w:t>
            </w:r>
          </w:p>
        </w:tc>
      </w:tr>
      <w:tr>
        <w:trPr>
          <w:tblHeader/>
        </w:trPr>
        <w:tc>
          <w:tcPr>
            <w:tcW w:w="608"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3648"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1216" w:type="dxa"/>
            <w:vAlign w:val="center"/>
            <w:tcMar>
              <w:top w:w="60" w:type="dxa"/>
              <w:left w:w="70" w:type="dxa"/>
              <w:bottom w:w="60" w:type="dxa"/>
              <w:right w:w="70" w:type="dxa"/>
            </w:tcMar>
            <w:tcBorders>
              <w:top w:val="nil"/>
            </w:tcBorders>
            <w:shd w:val="clear" w:color="auto" w:fill="EDEDED"/>
          </w:tcPr>
          <w:p>
            <w:pPr>
              <w:pStyle w:val="CadEETableHeadStyle"/>
            </w:pPr>
            <w:r>
              <w:rPr>
                <w:b/>
              </w:rPr>
              <w:t>м</w:t>
            </w:r>
          </w:p>
        </w:tc>
        <w:tc>
          <w:tcPr>
            <w:tcW w:w="1216" w:type="dxa"/>
            <w:vAlign w:val="center"/>
            <w:tcMar>
              <w:top w:w="60" w:type="dxa"/>
              <w:left w:w="70" w:type="dxa"/>
              <w:bottom w:w="60" w:type="dxa"/>
              <w:right w:w="70" w:type="dxa"/>
            </w:tcMar>
            <w:tcBorders>
              <w:top w:val="nil"/>
            </w:tcBorders>
            <w:shd w:val="clear" w:color="auto" w:fill="EDEDED"/>
          </w:tcPr>
          <w:p>
            <w:pPr>
              <w:pStyle w:val="CadEETableHeadStyle"/>
            </w:pPr>
            <w:r>
              <w:rPr>
                <w:b/>
              </w:rPr>
              <w:t>шт</w:t>
            </w:r>
          </w:p>
        </w:tc>
        <w:tc>
          <w:tcPr>
            <w:tcW w:w="1824" w:type="dxa"/>
            <w:vAlign w:val="center"/>
            <w:tcMar>
              <w:top w:w="60" w:type="dxa"/>
              <w:left w:w="70" w:type="dxa"/>
              <w:bottom w:w="60" w:type="dxa"/>
              <w:right w:w="70" w:type="dxa"/>
            </w:tcMar>
            <w:tcBorders>
              <w:top w:val="nil"/>
            </w:tcBorders>
            <w:shd w:val="clear" w:color="auto" w:fill="EDEDED"/>
          </w:tcPr>
          <w:p>
            <w:pPr>
              <w:pStyle w:val="CadEETableHeadStyle"/>
            </w:pPr>
            <w:r>
              <w:rPr>
                <w:b/>
              </w:rPr>
              <w:t>Вт/(м*K)</w:t>
            </w:r>
          </w:p>
        </w:tc>
        <w:tc>
          <w:tcPr>
            <w:tcW w:w="1824" w:type="dxa"/>
            <w:vAlign w:val="center"/>
            <w:tcMar>
              <w:top w:w="60" w:type="dxa"/>
              <w:left w:w="70" w:type="dxa"/>
              <w:bottom w:w="60" w:type="dxa"/>
              <w:right w:w="70" w:type="dxa"/>
            </w:tcMar>
            <w:tcBorders>
              <w:top w:val="nil"/>
            </w:tcBorders>
            <w:shd w:val="clear" w:color="auto" w:fill="EDEDED"/>
          </w:tcPr>
          <w:p>
            <w:pPr>
              <w:pStyle w:val="CadEETableHeadStyle"/>
            </w:pPr>
            <w:r>
              <w:rPr>
                <w:b/>
              </w:rPr>
              <w:t>Вт/K</w:t>
            </w:r>
          </w:p>
        </w:tc>
      </w:tr>
      <w:tr>
        <w:tc>
          <w:tcPr>
            <w:tcW w:w="608" w:type="dxa"/>
            <w:vAlign w:val="center"/>
            <w:tcMar>
              <w:top w:w="60" w:type="dxa"/>
              <w:left w:w="70" w:type="dxa"/>
              <w:bottom w:w="60" w:type="dxa"/>
              <w:right w:w="70" w:type="dxa"/>
            </w:tcMar>
          </w:tcPr>
          <w:p>
            <w:pPr>
              <w:pStyle w:val="CadEETableStyle"/>
            </w:pPr>
            <w:r>
              <w:t>0</w:t>
            </w:r>
          </w:p>
        </w:tc>
        <w:tc>
          <w:tcPr>
            <w:tcW w:w="3648" w:type="dxa"/>
            <w:vAlign w:val="center"/>
            <w:tcMar>
              <w:top w:w="60" w:type="dxa"/>
              <w:left w:w="70" w:type="dxa"/>
              <w:bottom w:w="60" w:type="dxa"/>
              <w:right w:w="70" w:type="dxa"/>
            </w:tcMar>
          </w:tcPr>
          <w:p>
            <w:pPr>
              <w:pStyle w:val="CadEETableStyle"/>
            </w:pPr>
            <w:r>
              <w:t>Стіна з термовключеннями</w:t>
            </w:r>
          </w:p>
        </w:tc>
        <w:tc>
          <w:tcPr>
            <w:tcW w:w="1216" w:type="dxa"/>
            <w:vAlign w:val="center"/>
            <w:tcMar>
              <w:top w:w="60" w:type="dxa"/>
              <w:left w:w="70" w:type="dxa"/>
              <w:bottom w:w="60" w:type="dxa"/>
              <w:right w:w="70" w:type="dxa"/>
            </w:tcMar>
          </w:tcPr>
          <w:p>
            <w:pPr>
              <w:pStyle w:val="CadEETableStyle"/>
            </w:pPr>
            <w:r>
              <w:t>1.25</w:t>
            </w:r>
          </w:p>
        </w:tc>
        <w:tc>
          <w:tcPr>
            <w:tcW w:w="1216" w:type="dxa"/>
            <w:vAlign w:val="center"/>
            <w:tcMar>
              <w:top w:w="60" w:type="dxa"/>
              <w:left w:w="70" w:type="dxa"/>
              <w:bottom w:w="60" w:type="dxa"/>
              <w:right w:w="70" w:type="dxa"/>
            </w:tcMar>
          </w:tcPr>
          <w:p>
            <w:pPr>
              <w:pStyle w:val="CadEETableStyle"/>
            </w:pPr>
            <w:r>
              <w:t>-</w:t>
            </w:r>
          </w:p>
        </w:tc>
        <w:tc>
          <w:tcPr>
            <w:tcW w:w="1824" w:type="dxa"/>
            <w:vAlign w:val="center"/>
            <w:tcMar>
              <w:top w:w="60" w:type="dxa"/>
              <w:left w:w="70" w:type="dxa"/>
              <w:bottom w:w="60" w:type="dxa"/>
              <w:right w:w="70" w:type="dxa"/>
            </w:tcMar>
          </w:tcPr>
          <w:p>
            <w:pPr>
              <w:pStyle w:val="CadEETableStyle"/>
            </w:pPr>
            <w:r>
              <w:t>-0.004357</w:t>
            </w:r>
          </w:p>
        </w:tc>
        <w:tc>
          <w:tcPr>
            <w:tcW w:w="1824" w:type="dxa"/>
            <w:vAlign w:val="center"/>
            <w:tcMar>
              <w:top w:w="60" w:type="dxa"/>
              <w:left w:w="70" w:type="dxa"/>
              <w:bottom w:w="60" w:type="dxa"/>
              <w:right w:w="70" w:type="dxa"/>
            </w:tcMar>
          </w:tcPr>
          <w:p>
            <w:pPr>
              <w:pStyle w:val="CadEETableStyle"/>
            </w:pPr>
            <w:r>
              <w:t>-</w:t>
            </w:r>
          </w:p>
        </w:tc>
      </w:tr>
    </w:tbl>
    <w:p>
      <w:pPr>
        <w:spacing w:before="0" w:after="0" w:line="80" w:lineRule="exact"/>
      </w:pPr>
    </w:p>
    <w:p>
      <w:pPr>
        <w:pStyle w:val="CadEENormalText"/>
      </w:pPr>
      <w:r>
        <w:t xml:space="preserve">Лінійні та точковихі коефіцієнти теплопередачі теплопровідних включень наведені в таблиці </w:t>
      </w:r>
      <w:r>
        <w:fldChar w:fldCharType="begin"/>
      </w:r>
      <w:r>
        <w:instrText xml:space="preserve"> REF CadEE_Target_18 \h </w:instrText>
      </w:r>
      <w:r>
        <w:fldChar w:fldCharType="separate"/>
      </w:r>
      <w:r>
        <w:t xml:space="preserve">1.2</w:t>
      </w:r>
      <w:r>
        <w:fldChar w:fldCharType="end"/>
      </w:r>
    </w:p>
    <w:p>
      <w:pPr>
        <w:pStyle w:val="CadEENormalText"/>
        <w:numPr>
          <w:ilvl w:val="2"/>
          <w:numId w:val="1"/>
        </w:numPr>
      </w:pPr>
      <w:bookmarkStart w:id="19" w:name="CadEE_Target_19"/>
      <w:r>
        <w:t xml:space="preserve">Визначаємо приведений опір теплопередачі конструкції згідно з формулою 1 ДСТУ 9191:2022:</w:t>
      </w:r>
      <w:bookmarkEnd w:id="1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r>
                      <m:t>Σпр</m:t>
                    </m:r>
                  </m:sub>
                </m:sSub>
                <m:r>
                  <m:t>=</m:t>
                </m:r>
                <m:f>
                  <m:num>
                    <m:sSub>
                      <m:e>
                        <m:r>
                          <m:rPr>
                            <m:sty m:val="i"/>
                          </m:rPr>
                          <m:t>A</m:t>
                        </m:r>
                      </m:e>
                      <m:sub>
                        <m:r>
                          <m:t>Σ</m:t>
                        </m:r>
                      </m:sub>
                    </m:sSub>
                  </m:num>
                  <m:den>
                    <m:d>
                      <m:dPr>
                        <m:begChr m:val="("/>
                        <m:endChr m:val=")"/>
                      </m:dPr>
                      <m:e>
                        <m:f>
                          <m:num>
                            <m:sSub>
                              <m:e>
                                <m:r>
                                  <m:rPr>
                                    <m:sty m:val="i"/>
                                  </m:rPr>
                                  <m:t>A</m:t>
                                </m:r>
                              </m:e>
                              <m:sub>
                                <m:r>
                                  <m:t>1</m:t>
                                </m:r>
                              </m:sub>
                            </m:sSub>
                          </m:num>
                          <m:den>
                            <m:sSub>
                              <m:e>
                                <m:r>
                                  <m:rPr>
                                    <m:sty m:val="i"/>
                                  </m:rPr>
                                  <m:t>R</m:t>
                                </m:r>
                              </m:e>
                              <m:sub>
                                <m:r>
                                  <m:rPr>
                                    <m:sty m:val="i"/>
                                  </m:rPr>
                                  <m:t>s</m:t>
                                </m:r>
                              </m:sub>
                            </m:sSub>
                          </m:den>
                        </m:f>
                        <m:r>
                          <m:t>+</m:t>
                        </m:r>
                        <m:sSub>
                          <m:e>
                            <m:r>
                              <m:rPr>
                                <m:sty m:val="i"/>
                              </m:rPr>
                              <m:t>l</m:t>
                            </m:r>
                          </m:e>
                          <m:sub>
                            <m:r>
                              <m:t>1</m:t>
                            </m:r>
                          </m:sub>
                        </m:sSub>
                        <m:sSub>
                          <m:e>
                            <m:r>
                              <m:t>Ψ</m:t>
                            </m:r>
                          </m:e>
                          <m:sub>
                            <m:r>
                              <m:t>1</m:t>
                            </m:r>
                          </m:sub>
                        </m:sSub>
                      </m:e>
                    </m:d>
                  </m:den>
                </m:f>
                <m:r>
                  <m:t>=</m:t>
                </m:r>
                <m:f>
                  <m:num>
                    <m:r>
                      <m:t>1</m:t>
                    </m:r>
                  </m:num>
                  <m:den>
                    <m:d>
                      <m:dPr>
                        <m:begChr m:val="("/>
                        <m:endChr m:val=")"/>
                      </m:dPr>
                      <m:e>
                        <m:f>
                          <m:num>
                            <m:r>
                              <m:t>1</m:t>
                            </m:r>
                          </m:num>
                          <m:den>
                            <m:r>
                              <m:t>1.977</m:t>
                            </m:r>
                          </m:den>
                        </m:f>
                        <m:r>
                          <m:t>+</m:t>
                        </m:r>
                        <m:r>
                          <m:t>1.25</m:t>
                        </m:r>
                        <m:r>
                          <m:t>·</m:t>
                        </m:r>
                        <m:r>
                          <m:t>−</m:t>
                        </m:r>
                        <m:r>
                          <m:t>0.004357</m:t>
                        </m:r>
                      </m:e>
                    </m:d>
                  </m:den>
                </m:f>
                <m:r>
                  <m:t>=</m:t>
                </m:r>
                <m:r>
                  <m:t>1.998</m:t>
                </m:r>
                <m:r>
                  <m:t xml:space="preserve"> </m:t>
                </m:r>
                <m:f>
                  <m:num>
                    <m:sSup>
                      <m:e>
                        <m:r>
                          <m:t>м</m:t>
                        </m:r>
                      </m:e>
                      <m:sup>
                        <m:r>
                          <m:t>2</m:t>
                        </m:r>
                      </m:sup>
                    </m:sSup>
                    <m:r>
                      <m:t>·</m:t>
                    </m:r>
                    <m:r>
                      <m:rPr>
                        <m:sty m:val="i"/>
                      </m:rPr>
                      <m:t>K</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 w:name="CadEE_Target_20"/>
            <w:r>
              <w:fldChar w:fldCharType="begin"/>
            </w:r>
            <w:r>
              <w:instrText xml:space="preserve"> SEQ CadEE_Formula \* ARABIC </w:instrText>
            </w:r>
            <w:r>
              <w:fldChar w:fldCharType="separate"/>
            </w:r>
            <w:r>
              <w:t xml:space="preserve">6</w:t>
            </w:r>
            <w:r>
              <w:fldChar w:fldCharType="end"/>
            </w:r>
            <w:bookmarkEnd w:id="20"/>
            <w:r>
              <w:t>)</w:t>
            </w:r>
          </w:p>
        </w:tc>
      </w:tr>
    </w:tbl>
    <w:p>
      <w:pPr>
        <w:pStyle w:val="CadEENormalText"/>
      </w:pPr>
      <w:r>
        <w:t xml:space="preserve">де </w:t>
      </w:r>
      <w:r>
        <w:rPr>
          <w:rFonts w:ascii="Cambria Math" w:hAnsi="Cambria Math" w:eastAsia="Cambria Math" w:cs="Cambria Math"/>
        </w:rPr>
        <w:t xml:space="preserve">A</w:t>
      </w:r>
      <w:r>
        <w:rPr>
          <w:rFonts w:ascii="Cambria Math" w:hAnsi="Cambria Math" w:eastAsia="Cambria Math" w:cs="Cambria Math"/>
          <w:vertAlign w:val="subscript"/>
        </w:rPr>
        <w:t xml:space="preserve">Σ</w:t>
      </w:r>
      <w:r>
        <w:t xml:space="preserve"> - те саме, що у формулі (</w:t>
      </w:r>
      <w:r>
        <w:fldChar w:fldCharType="begin"/>
      </w:r>
      <w:r>
        <w:instrText xml:space="preserve"> REF CadEE_Target_16 \h </w:instrText>
      </w:r>
      <w:r>
        <w:fldChar w:fldCharType="separate"/>
      </w:r>
      <w:r>
        <w:t xml:space="preserve">5</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1</w:t>
      </w:r>
      <w:r>
        <w:t xml:space="preserve"> - площа термічно однорідної частини конструкції,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s</w:t>
      </w:r>
      <w:r>
        <w:t xml:space="preserve"> - загальний опір теплопередачі конструкції, див. п. </w:t>
      </w:r>
      <w:r>
        <w:fldChar w:fldCharType="begin"/>
      </w:r>
      <w:r>
        <w:instrText xml:space="preserve"> REF CadEE_Target_10 \n \h </w:instrText>
      </w:r>
      <w:r>
        <w:fldChar w:fldCharType="separate"/>
      </w:r>
      <w:r>
        <w:t xml:space="preserve">1.1.5</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1</w:t>
      </w:r>
      <w:r>
        <w:t xml:space="preserve">, див. п. </w:t>
      </w:r>
      <w:r>
        <w:fldChar w:fldCharType="begin"/>
      </w:r>
      <w:r>
        <w:instrText xml:space="preserve"> REF CadEE_Target_14 \n \h </w:instrText>
      </w:r>
      <w:r>
        <w:fldChar w:fldCharType="separate"/>
      </w:r>
      <w:r>
        <w:t xml:space="preserve">1.1.7</w:t>
      </w:r>
      <w:r>
        <w:fldChar w:fldCharType="end"/>
      </w:r>
      <w:r>
        <w:t xml:space="preserve">; </w:t>
      </w:r>
      <w:r>
        <w:rPr>
          <w:rFonts w:ascii="Cambria Math" w:hAnsi="Cambria Math" w:eastAsia="Cambria Math" w:cs="Cambria Math"/>
        </w:rPr>
        <w:t xml:space="preserve">Ψ</w:t>
      </w:r>
      <w:r>
        <w:rPr>
          <w:rFonts w:ascii="Cambria Math" w:hAnsi="Cambria Math" w:eastAsia="Cambria Math" w:cs="Cambria Math"/>
          <w:vertAlign w:val="subscript"/>
        </w:rPr>
        <w:t xml:space="preserve">1</w:t>
      </w:r>
      <w:r>
        <w:t xml:space="preserve"> - лінійний коефіцієнт теплопередачі термічного включення,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21" w:name="CadEE_Target_21"/>
      <w:r>
        <w:t xml:space="preserve">Визначимо мінімально допустиме значення приведеного опору теплопередачі  згідно з ДБН В.2.6-31:2021. Температурна зона згідно з додатком A ДБН В.2.6-31:2021 - I (м. Львів). Допустиме значення опору теплопередачі визначаємо з  таблиці 1 ДБН В.2.6-31:2021 (як для типу конструкції - стіна, та типу будівлі - одноквартирний будинок):</w:t>
      </w:r>
      <w:bookmarkEnd w:id="21"/>
    </w:p>
    <w:p>
      <w:pPr>
        <w:pStyle w:val="CadEEEquationStyle"/>
      </w:pPr>
      <m:oMathPara>
        <m:oMath>
          <m:sSub>
            <m:e>
              <m:r>
                <m:rPr>
                  <m:sty m:val="i"/>
                </m:rPr>
                <m:t>R</m:t>
              </m:r>
            </m:e>
            <m:sub>
              <m:r>
                <m:rPr>
                  <m:sty m:val="i"/>
                </m:rPr>
                <m:t>qmin</m:t>
              </m:r>
            </m:sub>
          </m:sSub>
          <m:r>
            <m:t>=</m:t>
          </m:r>
          <m:r>
            <m:t>4</m:t>
          </m:r>
          <m:r>
            <m:t xml:space="preserve"> </m:t>
          </m:r>
          <m:f>
            <m:num>
              <m:sSup>
                <m:e>
                  <m:r>
                    <m:t>м</m:t>
                  </m:r>
                </m:e>
                <m:sup>
                  <m:r>
                    <m:t>2</m:t>
                  </m:r>
                </m:sup>
              </m:sSup>
              <m:r>
                <m:t>·</m:t>
              </m:r>
              <m:r>
                <m:rPr>
                  <m:sty m:val="i"/>
                </m:rPr>
                <m:t>K</m:t>
              </m:r>
            </m:num>
            <m:den>
              <m:r>
                <m:t>Вт</m:t>
              </m:r>
            </m:den>
          </m:f>
        </m:oMath>
      </m:oMathPara>
    </w:p>
    <w:p>
      <w:pPr>
        <w:pStyle w:val="CadEENormalText"/>
        <w:numPr>
          <w:ilvl w:val="2"/>
          <w:numId w:val="1"/>
        </w:numPr>
      </w:pPr>
      <w:bookmarkStart w:id="23" w:name="CadEE_Target_23"/>
      <w:r>
        <w:t xml:space="preserve">Оскільки: </w:t>
      </w:r>
      <w:bookmarkEnd w:id="23"/>
    </w:p>
    <w:p>
      <w:pPr>
        <w:pStyle w:val="CadEEEquationStyle"/>
      </w:pPr>
      <m:oMathPara>
        <m:oMath>
          <m:sSub>
            <m:e>
              <m:r>
                <m:rPr>
                  <m:sty m:val="i"/>
                </m:rPr>
                <m:t>R</m:t>
              </m:r>
            </m:e>
            <m:sub>
              <m:r>
                <m:t>Σпр</m:t>
              </m:r>
            </m:sub>
          </m:sSub>
          <m:r>
            <m:t>=</m:t>
          </m:r>
          <m:r>
            <m:t>2</m:t>
          </m:r>
          <m:f>
            <m:num>
              <m:sSup>
                <m:e>
                  <m:r>
                    <m:t>м</m:t>
                  </m:r>
                </m:e>
                <m:sup>
                  <m:r>
                    <m:t>2</m:t>
                  </m:r>
                </m:sup>
              </m:sSup>
              <m:r>
                <m:t>·</m:t>
              </m:r>
              <m:r>
                <m:rPr>
                  <m:sty m:val="i"/>
                </m:rPr>
                <m:t>K</m:t>
              </m:r>
            </m:num>
            <m:den>
              <m:r>
                <m:t>Вт</m:t>
              </m:r>
            </m:den>
          </m:f>
          <m:r>
            <m:t xml:space="preserve"> </m:t>
          </m:r>
          <m:r>
            <m:t>&lt;</m:t>
          </m:r>
          <m:r>
            <m:t xml:space="preserve"> </m:t>
          </m:r>
          <m:sSub>
            <m:e>
              <m:r>
                <m:rPr>
                  <m:sty m:val="i"/>
                </m:rPr>
                <m:t>R</m:t>
              </m:r>
            </m:e>
            <m:sub>
              <m:r>
                <m:rPr>
                  <m:sty m:val="i"/>
                </m:rPr>
                <m:t>qmin</m:t>
              </m:r>
            </m:sub>
          </m:sSub>
          <m:r>
            <m:t>=</m:t>
          </m:r>
          <m:r>
            <m:t>4</m:t>
          </m:r>
          <m:f>
            <m:num>
              <m:sSup>
                <m:e>
                  <m:r>
                    <m:t>м</m:t>
                  </m:r>
                </m:e>
                <m:sup>
                  <m:r>
                    <m:t>2</m:t>
                  </m:r>
                </m:sup>
              </m:sSup>
              <m:r>
                <m:t>·</m:t>
              </m:r>
              <m:r>
                <m:rPr>
                  <m:sty m:val="i"/>
                </m:rPr>
                <m:t>K</m:t>
              </m:r>
            </m:num>
            <m:den>
              <m:r>
                <m:t>Вт</m:t>
              </m:r>
            </m:den>
          </m:f>
        </m:oMath>
      </m:oMathPara>
    </w:p>
    <w:p>
      <w:pPr>
        <w:pStyle w:val="CadEENormalText"/>
      </w:pPr>
      <w:r>
        <w:t xml:space="preserve">то умова (4) ДБН В.2.6-31:2021 не виконується.</w:t>
      </w:r>
    </w:p>
    <w:p>
      <w:pPr>
        <w:pStyle w:val="CadEENormalText"/>
        <w:numPr>
          <w:ilvl w:val="2"/>
          <w:numId w:val="1"/>
        </w:numPr>
      </w:pPr>
      <w:bookmarkStart w:id="25" w:name="CadEE_Target_25"/>
      <w:r>
        <w:t xml:space="preserve">Визначення розподілу температури в товщині конструкції згідно з формулою (5) ДСТУ Б В.2.6-192:2013:</w:t>
      </w:r>
      <w:bookmarkEnd w:id="2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r>
                      <m:t>1</m:t>
                    </m:r>
                  </m:sub>
                </m:sSub>
                <m:r>
                  <m:t>=</m:t>
                </m:r>
                <m:f>
                  <m:num>
                    <m:sSub>
                      <m:e>
                        <m:r>
                          <m:rPr>
                            <m:sty m:val="i"/>
                          </m:rPr>
                          <m:t>d</m:t>
                        </m:r>
                      </m:e>
                      <m:sub>
                        <m:r>
                          <m:t>1</m:t>
                        </m:r>
                      </m:sub>
                    </m:sSub>
                  </m:num>
                  <m:den>
                    <m:sSub>
                      <m:e>
                        <m:r>
                          <m:t>λ</m:t>
                        </m:r>
                      </m:e>
                      <m:sub>
                        <m:sSub>
                          <m:e>
                            <m:r>
                              <m:t>р</m:t>
                            </m:r>
                          </m:e>
                          <m:sub>
                            <m:r>
                              <m:t>1</m:t>
                            </m:r>
                          </m:sub>
                        </m:sSub>
                      </m:sub>
                    </m:sSub>
                  </m:den>
                </m:f>
                <m:r>
                  <m:t>=</m:t>
                </m:r>
                <m:f>
                  <m:num>
                    <m:r>
                      <m:t>0.05</m:t>
                    </m:r>
                  </m:num>
                  <m:den>
                    <m:r>
                      <m:t>0.055</m:t>
                    </m:r>
                  </m:den>
                </m:f>
                <m:r>
                  <m:t>=</m:t>
                </m:r>
                <m:r>
                  <m:t>0.909</m:t>
                </m:r>
                <m:r>
                  <m:t xml:space="preserve"> </m:t>
                </m:r>
                <m:f>
                  <m:num>
                    <m:sSup>
                      <m:e>
                        <m:r>
                          <m:t>м</m:t>
                        </m:r>
                      </m:e>
                      <m:sup>
                        <m:r>
                          <m:t>2</m:t>
                        </m:r>
                      </m:sup>
                    </m:sSup>
                    <m:r>
                      <m:t>·</m:t>
                    </m:r>
                    <m:r>
                      <m:rPr>
                        <m:sty m:val="i"/>
                      </m:rPr>
                      <m:t>K</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6" w:name="CadEE_Target_26"/>
            <w:r>
              <w:fldChar w:fldCharType="begin"/>
            </w:r>
            <w:r>
              <w:instrText xml:space="preserve"> SEQ CadEE_Formula \* ARABIC </w:instrText>
            </w:r>
            <w:r>
              <w:fldChar w:fldCharType="separate"/>
            </w:r>
            <w:r>
              <w:t xml:space="preserve">7</w:t>
            </w:r>
            <w:r>
              <w:fldChar w:fldCharType="end"/>
            </w:r>
            <w:bookmarkEnd w:id="26"/>
            <w:r>
              <w:t>)</w:t>
            </w:r>
          </w:p>
        </w:tc>
      </w:tr>
    </w:tbl>
    <w:p>
      <w:pPr>
        <w:pStyle w:val="CadEENormalText"/>
      </w:pPr>
      <w:r>
        <w:t xml:space="preserve">де </w:t>
      </w:r>
      <w:r>
        <w:rPr>
          <w:rFonts w:ascii="Cambria Math" w:hAnsi="Cambria Math" w:eastAsia="Cambria Math" w:cs="Cambria Math"/>
        </w:rPr>
        <w:t xml:space="preserve">d</w:t>
      </w:r>
      <w:r>
        <w:rPr>
          <w:rFonts w:ascii="Cambria Math" w:hAnsi="Cambria Math" w:eastAsia="Cambria Math" w:cs="Cambria Math"/>
          <w:vertAlign w:val="subscript"/>
        </w:rPr>
        <w:t xml:space="preserve">1</w:t>
      </w:r>
      <w:r>
        <w:t xml:space="preserve">, </w:t>
      </w:r>
      <w:r>
        <w:rPr>
          <w:rFonts w:ascii="Cambria Math" w:hAnsi="Cambria Math" w:eastAsia="Cambria Math" w:cs="Cambria Math"/>
        </w:rPr>
        <w:t xml:space="preserve">λ</w:t>
      </w:r>
      <w:r>
        <w:rPr>
          <w:rFonts w:ascii="Cambria Math" w:hAnsi="Cambria Math" w:eastAsia="Cambria Math" w:cs="Cambria Math"/>
          <w:vertAlign w:val="subscript"/>
        </w:rPr>
        <w:t xml:space="preserve">р1</w:t>
      </w:r>
      <w:r>
        <w:t xml:space="preserve"> - те саме, що у формулі (</w:t>
      </w:r>
      <w:r>
        <w:fldChar w:fldCharType="begin"/>
      </w:r>
      <w:r>
        <w:instrText xml:space="preserve"> REF CadEE_Target_11 \h </w:instrText>
      </w:r>
      <w:r>
        <w:fldChar w:fldCharType="separate"/>
      </w:r>
      <w:r>
        <w:t xml:space="preserve">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r>
                      <m:t>2</m:t>
                    </m:r>
                  </m:sub>
                </m:sSub>
                <m:r>
                  <m:t>=</m:t>
                </m:r>
                <m:f>
                  <m:num>
                    <m:sSub>
                      <m:e>
                        <m:r>
                          <m:rPr>
                            <m:sty m:val="i"/>
                          </m:rPr>
                          <m:t>d</m:t>
                        </m:r>
                      </m:e>
                      <m:sub>
                        <m:r>
                          <m:t>1</m:t>
                        </m:r>
                      </m:sub>
                    </m:sSub>
                  </m:num>
                  <m:den>
                    <m:sSub>
                      <m:e>
                        <m:r>
                          <m:t>λ</m:t>
                        </m:r>
                      </m:e>
                      <m:sub>
                        <m:sSub>
                          <m:e>
                            <m:r>
                              <m:t>р</m:t>
                            </m:r>
                          </m:e>
                          <m:sub>
                            <m:r>
                              <m:t>1</m:t>
                            </m:r>
                          </m:sub>
                        </m:sSub>
                      </m:sub>
                    </m:sSub>
                  </m:den>
                </m:f>
                <m:r>
                  <m:t>+</m:t>
                </m:r>
                <m:f>
                  <m:num>
                    <m:sSub>
                      <m:e>
                        <m:r>
                          <m:rPr>
                            <m:sty m:val="i"/>
                          </m:rPr>
                          <m:t>d</m:t>
                        </m:r>
                      </m:e>
                      <m:sub>
                        <m:r>
                          <m:t>2</m:t>
                        </m:r>
                      </m:sub>
                    </m:sSub>
                  </m:num>
                  <m:den>
                    <m:sSub>
                      <m:e>
                        <m:r>
                          <m:t>λ</m:t>
                        </m:r>
                      </m:e>
                      <m:sub>
                        <m:sSub>
                          <m:e>
                            <m:r>
                              <m:t>р</m:t>
                            </m:r>
                          </m:e>
                          <m:sub>
                            <m:r>
                              <m:t>2</m:t>
                            </m:r>
                          </m:sub>
                        </m:sSub>
                      </m:sub>
                    </m:sSub>
                  </m:den>
                </m:f>
                <m:r>
                  <m:t>=</m:t>
                </m:r>
                <m:f>
                  <m:num>
                    <m:r>
                      <m:t>0.05</m:t>
                    </m:r>
                  </m:num>
                  <m:den>
                    <m:r>
                      <m:t>0.055</m:t>
                    </m:r>
                  </m:den>
                </m:f>
                <m:r>
                  <m:t>+</m:t>
                </m:r>
                <m:f>
                  <m:num>
                    <m:r>
                      <m:t>0.05</m:t>
                    </m:r>
                  </m:num>
                  <m:den>
                    <m:r>
                      <m:t>0.055</m:t>
                    </m:r>
                  </m:den>
                </m:f>
                <m:r>
                  <m:t>=</m:t>
                </m:r>
                <m:r>
                  <m:t>1.818</m:t>
                </m:r>
                <m:r>
                  <m:t xml:space="preserve"> </m:t>
                </m:r>
                <m:f>
                  <m:num>
                    <m:sSup>
                      <m:e>
                        <m:r>
                          <m:t>м</m:t>
                        </m:r>
                      </m:e>
                      <m:sup>
                        <m:r>
                          <m:t>2</m:t>
                        </m:r>
                      </m:sup>
                    </m:sSup>
                    <m:r>
                      <m:t>·</m:t>
                    </m:r>
                    <m:r>
                      <m:rPr>
                        <m:sty m:val="i"/>
                      </m:rPr>
                      <m:t>K</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7" w:name="CadEE_Target_27"/>
            <w:r>
              <w:fldChar w:fldCharType="begin"/>
            </w:r>
            <w:r>
              <w:instrText xml:space="preserve"> SEQ CadEE_Formula \* ARABIC </w:instrText>
            </w:r>
            <w:r>
              <w:fldChar w:fldCharType="separate"/>
            </w:r>
            <w:r>
              <w:t xml:space="preserve">8</w:t>
            </w:r>
            <w:r>
              <w:fldChar w:fldCharType="end"/>
            </w:r>
            <w:bookmarkEnd w:id="27"/>
            <w:r>
              <w:t>)</w:t>
            </w:r>
          </w:p>
        </w:tc>
      </w:tr>
    </w:tbl>
    <w:p>
      <w:pPr>
        <w:pStyle w:val="CadEENormalText"/>
      </w:pPr>
      <w:r>
        <w:t xml:space="preserve">де </w:t>
      </w:r>
      <w:r>
        <w:rPr>
          <w:rFonts w:ascii="Cambria Math" w:hAnsi="Cambria Math" w:eastAsia="Cambria Math" w:cs="Cambria Math"/>
        </w:rPr>
        <w:t xml:space="preserve">d</w:t>
      </w:r>
      <w:r>
        <w:rPr>
          <w:rFonts w:ascii="Cambria Math" w:hAnsi="Cambria Math" w:eastAsia="Cambria Math" w:cs="Cambria Math"/>
          <w:vertAlign w:val="subscript"/>
        </w:rPr>
        <w:t xml:space="preserve">1</w:t>
      </w:r>
      <w:r>
        <w:t xml:space="preserve">..</w:t>
      </w:r>
      <w:r>
        <w:rPr>
          <w:rFonts w:ascii="Cambria Math" w:hAnsi="Cambria Math" w:eastAsia="Cambria Math" w:cs="Cambria Math"/>
        </w:rPr>
        <w:t xml:space="preserve">d</w:t>
      </w:r>
      <w:r>
        <w:rPr>
          <w:rFonts w:ascii="Cambria Math" w:hAnsi="Cambria Math" w:eastAsia="Cambria Math" w:cs="Cambria Math"/>
          <w:vertAlign w:val="subscript"/>
        </w:rPr>
        <w:t xml:space="preserve">2</w:t>
      </w:r>
      <w:r>
        <w:t xml:space="preserve">, </w:t>
      </w:r>
      <w:r>
        <w:rPr>
          <w:rFonts w:ascii="Cambria Math" w:hAnsi="Cambria Math" w:eastAsia="Cambria Math" w:cs="Cambria Math"/>
        </w:rPr>
        <w:t xml:space="preserve">λ</w:t>
      </w:r>
      <w:r>
        <w:rPr>
          <w:rFonts w:ascii="Cambria Math" w:hAnsi="Cambria Math" w:eastAsia="Cambria Math" w:cs="Cambria Math"/>
          <w:vertAlign w:val="subscript"/>
        </w:rPr>
        <w:t xml:space="preserve">р1</w:t>
      </w:r>
      <w:r>
        <w:t xml:space="preserve">..</w:t>
      </w:r>
      <w:r>
        <w:rPr>
          <w:rFonts w:ascii="Cambria Math" w:hAnsi="Cambria Math" w:eastAsia="Cambria Math" w:cs="Cambria Math"/>
        </w:rPr>
        <w:t xml:space="preserve">λ</w:t>
      </w:r>
      <w:r>
        <w:rPr>
          <w:rFonts w:ascii="Cambria Math" w:hAnsi="Cambria Math" w:eastAsia="Cambria Math" w:cs="Cambria Math"/>
          <w:vertAlign w:val="subscript"/>
        </w:rPr>
        <w:t xml:space="preserve">р2</w:t>
      </w:r>
      <w:r>
        <w:t xml:space="preserve"> - те саме, що у формулі (</w:t>
      </w:r>
      <w:r>
        <w:fldChar w:fldCharType="begin"/>
      </w:r>
      <w:r>
        <w:instrText xml:space="preserve"> REF CadEE_Target_11 \h </w:instrText>
      </w:r>
      <w:r>
        <w:fldChar w:fldCharType="separate"/>
      </w:r>
      <w:r>
        <w:t xml:space="preserve">2</w:t>
      </w:r>
      <w:r>
        <w:fldChar w:fldCharType="end"/>
      </w:r>
      <w:r>
        <w:t xml:space="preserve">).</w:t>
      </w:r>
    </w:p>
    <w:p>
      <w:pPr>
        <w:pStyle w:val="CadEEEquationStyle"/>
      </w:pPr>
      <m:oMathPara>
        <m:oMath>
          <m:sSub>
            <m:e>
              <m:r>
                <m:t>θ</m:t>
              </m:r>
            </m:e>
            <m:sub>
              <m:r>
                <m:rPr>
                  <m:sty m:val="i"/>
                </m:rPr>
                <m:t>ext</m:t>
              </m:r>
            </m:sub>
          </m:sSub>
          <m:r>
            <m:t>=</m:t>
          </m:r>
          <m:r>
            <m:t>−</m:t>
          </m:r>
          <m:r>
            <m:t>22</m:t>
          </m:r>
          <m:r>
            <m:t>°С;</m:t>
          </m:r>
        </m:oMath>
      </m:oMathPara>
    </w:p>
    <w:p>
      <w:pPr>
        <w:pStyle w:val="CadEENormalText"/>
        <w:numPr>
          <w:ilvl w:val="2"/>
          <w:numId w:val="1"/>
        </w:numPr>
      </w:pPr>
      <w:bookmarkStart w:id="29" w:name="CadEE_Target_29"/>
      <w:r>
        <w:t xml:space="preserve">Температура в площинах на межі шарів : </w:t>
      </w:r>
      <w:bookmarkEnd w:id="2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θ</m:t>
                    </m:r>
                  </m:e>
                  <m:sub>
                    <m:r>
                      <m:t>0</m:t>
                    </m:r>
                  </m:sub>
                </m:sSub>
                <m:r>
                  <m:t>=</m:t>
                </m:r>
                <m:sSub>
                  <m:e>
                    <m:r>
                      <m:t>θ</m:t>
                    </m:r>
                  </m:e>
                  <m:sub>
                    <m:r>
                      <m:rPr>
                        <m:sty m:val="i"/>
                      </m:rPr>
                      <m:t>int</m:t>
                    </m:r>
                  </m:sub>
                </m:sSub>
                <m:r>
                  <m:t>−</m:t>
                </m:r>
                <m:f>
                  <m:num>
                    <m:d>
                      <m:dPr>
                        <m:begChr m:val="("/>
                        <m:endChr m:val=")"/>
                      </m:dPr>
                      <m:e>
                        <m:sSub>
                          <m:e>
                            <m:r>
                              <m:t>θ</m:t>
                            </m:r>
                          </m:e>
                          <m:sub>
                            <m:r>
                              <m:rPr>
                                <m:sty m:val="i"/>
                              </m:rPr>
                              <m:t>int</m:t>
                            </m:r>
                          </m:sub>
                        </m:sSub>
                        <m:r>
                          <m:t>−</m:t>
                        </m:r>
                        <m:sSub>
                          <m:e>
                            <m:r>
                              <m:t>θ</m:t>
                            </m:r>
                          </m:e>
                          <m:sub>
                            <m:r>
                              <m:rPr>
                                <m:sty m:val="i"/>
                              </m:rPr>
                              <m:t>ext</m:t>
                            </m:r>
                          </m:sub>
                        </m:sSub>
                      </m:e>
                    </m:d>
                  </m:num>
                  <m:den>
                    <m:sSub>
                      <m:e>
                        <m:r>
                          <m:rPr>
                            <m:sty m:val="i"/>
                          </m:rPr>
                          <m:t>R</m:t>
                        </m:r>
                      </m:e>
                      <m:sub>
                        <m:r>
                          <m:rPr>
                            <m:sty m:val="i"/>
                          </m:rPr>
                          <m:t>s</m:t>
                        </m:r>
                      </m:sub>
                    </m:sSub>
                  </m:den>
                </m:f>
                <m:f>
                  <m:num>
                    <m:r>
                      <m:t>1</m:t>
                    </m:r>
                  </m:num>
                  <m:den>
                    <m:sSub>
                      <m:e>
                        <m:r>
                          <m:rPr>
                            <m:sty m:val="i"/>
                          </m:rPr>
                          <m:t>h</m:t>
                        </m:r>
                      </m:e>
                      <m:sub>
                        <m:r>
                          <m:rPr>
                            <m:sty m:val="i"/>
                          </m:rPr>
                          <m:t>si</m:t>
                        </m:r>
                      </m:sub>
                    </m:sSub>
                  </m:den>
                </m:f>
                <m:r>
                  <m:t>=</m:t>
                </m:r>
                <m:r>
                  <m:t>20</m:t>
                </m:r>
                <m:r>
                  <m:t>−</m:t>
                </m:r>
                <m:f>
                  <m:num>
                    <m:d>
                      <m:dPr>
                        <m:begChr m:val="("/>
                        <m:endChr m:val=")"/>
                      </m:dPr>
                      <m:e>
                        <m:r>
                          <m:t>20</m:t>
                        </m:r>
                        <m:r>
                          <m:t>−</m:t>
                        </m:r>
                        <m:r>
                          <m:t>−</m:t>
                        </m:r>
                        <m:r>
                          <m:t>22</m:t>
                        </m:r>
                      </m:e>
                    </m:d>
                  </m:num>
                  <m:den>
                    <m:r>
                      <m:t>1.977</m:t>
                    </m:r>
                  </m:den>
                </m:f>
                <m:r>
                  <m:t>·</m:t>
                </m:r>
                <m:f>
                  <m:num>
                    <m:r>
                      <m:t>1</m:t>
                    </m:r>
                  </m:num>
                  <m:den>
                    <m:r>
                      <m:t>8.7</m:t>
                    </m:r>
                  </m:den>
                </m:f>
                <m:r>
                  <m:t>=</m:t>
                </m:r>
                <m:r>
                  <m:t>17.558</m:t>
                </m:r>
                <m:r>
                  <m:t xml:space="preserve"> </m:t>
                </m:r>
                <m:r>
                  <m:t>°C</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0" w:name="CadEE_Target_30"/>
            <w:r>
              <w:fldChar w:fldCharType="begin"/>
            </w:r>
            <w:r>
              <w:instrText xml:space="preserve"> SEQ CadEE_Formula \* ARABIC </w:instrText>
            </w:r>
            <w:r>
              <w:fldChar w:fldCharType="separate"/>
            </w:r>
            <w:r>
              <w:t xml:space="preserve">9</w:t>
            </w:r>
            <w:r>
              <w:fldChar w:fldCharType="end"/>
            </w:r>
            <w:bookmarkEnd w:id="30"/>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w:t>
      </w:r>
      <w:r>
        <w:t xml:space="preserve"> - температура внутрішнього повітря,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ext</w:t>
      </w:r>
      <w:r>
        <w:t xml:space="preserve"> - температура зовнішнього повітря,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s</w:t>
      </w:r>
      <w:r>
        <w:t xml:space="preserve"> - те саме, що у формулі (</w:t>
      </w:r>
      <w:r>
        <w:fldChar w:fldCharType="begin"/>
      </w:r>
      <w:r>
        <w:instrText xml:space="preserve"> REF CadEE_Target_20 \h </w:instrText>
      </w:r>
      <w:r>
        <w:fldChar w:fldCharType="separate"/>
      </w:r>
      <w:r>
        <w:t xml:space="preserve">6</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si</w:t>
      </w:r>
      <w:r>
        <w:t xml:space="preserve"> - те саме, що у формулі (</w:t>
      </w:r>
      <w:r>
        <w:fldChar w:fldCharType="begin"/>
      </w:r>
      <w:r>
        <w:instrText xml:space="preserve"> REF CadEE_Target_11 \h </w:instrText>
      </w:r>
      <w:r>
        <w:fldChar w:fldCharType="separate"/>
      </w:r>
      <w:r>
        <w:t xml:space="preserve">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θ</m:t>
                    </m:r>
                  </m:e>
                  <m:sub>
                    <m:r>
                      <m:t>1</m:t>
                    </m:r>
                  </m:sub>
                </m:sSub>
                <m:r>
                  <m:t>=</m:t>
                </m:r>
                <m:sSub>
                  <m:e>
                    <m:r>
                      <m:t>θ</m:t>
                    </m:r>
                  </m:e>
                  <m:sub>
                    <m:r>
                      <m:rPr>
                        <m:sty m:val="i"/>
                      </m:rPr>
                      <m:t>int</m:t>
                    </m:r>
                  </m:sub>
                </m:sSub>
                <m:r>
                  <m:t>−</m:t>
                </m:r>
                <m:f>
                  <m:num>
                    <m:d>
                      <m:dPr>
                        <m:begChr m:val="("/>
                        <m:endChr m:val=")"/>
                      </m:dPr>
                      <m:e>
                        <m:sSub>
                          <m:e>
                            <m:r>
                              <m:t>θ</m:t>
                            </m:r>
                          </m:e>
                          <m:sub>
                            <m:r>
                              <m:rPr>
                                <m:sty m:val="i"/>
                              </m:rPr>
                              <m:t>int</m:t>
                            </m:r>
                          </m:sub>
                        </m:sSub>
                        <m:r>
                          <m:t>−</m:t>
                        </m:r>
                        <m:sSub>
                          <m:e>
                            <m:r>
                              <m:t>θ</m:t>
                            </m:r>
                          </m:e>
                          <m:sub>
                            <m:r>
                              <m:rPr>
                                <m:sty m:val="i"/>
                              </m:rPr>
                              <m:t>ext</m:t>
                            </m:r>
                          </m:sub>
                        </m:sSub>
                      </m:e>
                    </m:d>
                  </m:num>
                  <m:den>
                    <m:sSub>
                      <m:e>
                        <m:r>
                          <m:rPr>
                            <m:sty m:val="i"/>
                          </m:rPr>
                          <m:t>R</m:t>
                        </m:r>
                      </m:e>
                      <m:sub>
                        <m:r>
                          <m:rPr>
                            <m:sty m:val="i"/>
                          </m:rPr>
                          <m:t>s</m:t>
                        </m:r>
                      </m:sub>
                    </m:sSub>
                  </m:den>
                </m:f>
                <m:d>
                  <m:dPr>
                    <m:begChr m:val="("/>
                    <m:endChr m:val=")"/>
                  </m:dPr>
                  <m:e>
                    <m:f>
                      <m:num>
                        <m:r>
                          <m:t>1</m:t>
                        </m:r>
                      </m:num>
                      <m:den>
                        <m:sSub>
                          <m:e>
                            <m:r>
                              <m:rPr>
                                <m:sty m:val="i"/>
                              </m:rPr>
                              <m:t>h</m:t>
                            </m:r>
                          </m:e>
                          <m:sub>
                            <m:r>
                              <m:rPr>
                                <m:sty m:val="i"/>
                              </m:rPr>
                              <m:t>si</m:t>
                            </m:r>
                          </m:sub>
                        </m:sSub>
                      </m:den>
                    </m:f>
                    <m:r>
                      <m:t>+</m:t>
                    </m:r>
                    <m:sSub>
                      <m:e>
                        <m:r>
                          <m:rPr>
                            <m:sty m:val="i"/>
                          </m:rPr>
                          <m:t>R</m:t>
                        </m:r>
                      </m:e>
                      <m:sub>
                        <m:r>
                          <m:t>1</m:t>
                        </m:r>
                      </m:sub>
                    </m:sSub>
                  </m:e>
                </m:d>
                <m:r>
                  <m:t>=</m:t>
                </m:r>
                <m:r>
                  <m:t>20</m:t>
                </m:r>
                <m:r>
                  <m:t>−</m:t>
                </m:r>
                <m:f>
                  <m:num>
                    <m:d>
                      <m:dPr>
                        <m:begChr m:val="("/>
                        <m:endChr m:val=")"/>
                      </m:dPr>
                      <m:e>
                        <m:r>
                          <m:t>20</m:t>
                        </m:r>
                        <m:r>
                          <m:t>−</m:t>
                        </m:r>
                        <m:r>
                          <m:t>−</m:t>
                        </m:r>
                        <m:r>
                          <m:t>22</m:t>
                        </m:r>
                      </m:e>
                    </m:d>
                  </m:num>
                  <m:den>
                    <m:r>
                      <m:t>1.977</m:t>
                    </m:r>
                  </m:den>
                </m:f>
                <m:r>
                  <m:t>·</m:t>
                </m:r>
                <m:d>
                  <m:dPr>
                    <m:begChr m:val="("/>
                    <m:endChr m:val=")"/>
                  </m:dPr>
                  <m:e>
                    <m:f>
                      <m:num>
                        <m:r>
                          <m:t>1</m:t>
                        </m:r>
                      </m:num>
                      <m:den>
                        <m:r>
                          <m:t>8.7</m:t>
                        </m:r>
                      </m:den>
                    </m:f>
                    <m:r>
                      <m:t>+</m:t>
                    </m:r>
                    <m:r>
                      <m:t>0.909</m:t>
                    </m:r>
                  </m:e>
                </m:d>
                <m:r>
                  <m:t>=</m:t>
                </m:r>
                <m:r>
                  <m:t>−</m:t>
                </m:r>
                <m:r>
                  <m:t>1.759</m:t>
                </m:r>
                <m:r>
                  <m:t xml:space="preserve"> </m:t>
                </m:r>
                <m:r>
                  <m:t>°C</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1" w:name="CadEE_Target_31"/>
            <w:r>
              <w:fldChar w:fldCharType="begin"/>
            </w:r>
            <w:r>
              <w:instrText xml:space="preserve"> SEQ CadEE_Formula \* ARABIC </w:instrText>
            </w:r>
            <w:r>
              <w:fldChar w:fldCharType="separate"/>
            </w:r>
            <w:r>
              <w:t xml:space="preserve">10</w:t>
            </w:r>
            <w:r>
              <w:fldChar w:fldCharType="end"/>
            </w:r>
            <w:bookmarkEnd w:id="31"/>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ext</w:t>
      </w:r>
      <w:r>
        <w:t xml:space="preserve"> - те саме, що у формулі (</w:t>
      </w:r>
      <w:r>
        <w:fldChar w:fldCharType="begin"/>
      </w:r>
      <w:r>
        <w:instrText xml:space="preserve"> REF CadEE_Target_30 \h </w:instrText>
      </w:r>
      <w:r>
        <w:fldChar w:fldCharType="separate"/>
      </w:r>
      <w:r>
        <w:t xml:space="preserve">9</w:t>
      </w:r>
      <w:r>
        <w:fldChar w:fldCharType="end"/>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s</w:t>
      </w:r>
      <w:r>
        <w:t xml:space="preserve"> - те саме, що у формулі (</w:t>
      </w:r>
      <w:r>
        <w:fldChar w:fldCharType="begin"/>
      </w:r>
      <w:r>
        <w:instrText xml:space="preserve"> REF CadEE_Target_20 \h </w:instrText>
      </w:r>
      <w:r>
        <w:fldChar w:fldCharType="separate"/>
      </w:r>
      <w:r>
        <w:t xml:space="preserve">6</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si</w:t>
      </w:r>
      <w:r>
        <w:t xml:space="preserve"> - те саме, що у формулі (</w:t>
      </w:r>
      <w:r>
        <w:fldChar w:fldCharType="begin"/>
      </w:r>
      <w:r>
        <w:instrText xml:space="preserve"> REF CadEE_Target_11 \h </w:instrText>
      </w:r>
      <w:r>
        <w:fldChar w:fldCharType="separate"/>
      </w:r>
      <w:r>
        <w:t xml:space="preserve">2</w:t>
      </w:r>
      <w:r>
        <w:fldChar w:fldCharType="end"/>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1</w:t>
      </w:r>
      <w:r>
        <w:t xml:space="preserve">, див. п. </w:t>
      </w:r>
      <w:r>
        <w:fldChar w:fldCharType="begin"/>
      </w:r>
      <w:r>
        <w:instrText xml:space="preserve"> REF CadEE_Target_25 \n \h </w:instrText>
      </w:r>
      <w:r>
        <w:fldChar w:fldCharType="separate"/>
      </w:r>
      <w:r>
        <w:t xml:space="preserve">1.1.12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θ</m:t>
                    </m:r>
                  </m:e>
                  <m:sub>
                    <m:r>
                      <m:t>2</m:t>
                    </m:r>
                  </m:sub>
                </m:sSub>
                <m:r>
                  <m:t>=</m:t>
                </m:r>
                <m:sSub>
                  <m:e>
                    <m:r>
                      <m:t>θ</m:t>
                    </m:r>
                  </m:e>
                  <m:sub>
                    <m:r>
                      <m:rPr>
                        <m:sty m:val="i"/>
                      </m:rPr>
                      <m:t>int</m:t>
                    </m:r>
                  </m:sub>
                </m:sSub>
                <m:r>
                  <m:t>−</m:t>
                </m:r>
                <m:f>
                  <m:num>
                    <m:d>
                      <m:dPr>
                        <m:begChr m:val="("/>
                        <m:endChr m:val=")"/>
                      </m:dPr>
                      <m:e>
                        <m:sSub>
                          <m:e>
                            <m:r>
                              <m:t>θ</m:t>
                            </m:r>
                          </m:e>
                          <m:sub>
                            <m:r>
                              <m:rPr>
                                <m:sty m:val="i"/>
                              </m:rPr>
                              <m:t>int</m:t>
                            </m:r>
                          </m:sub>
                        </m:sSub>
                        <m:r>
                          <m:t>−</m:t>
                        </m:r>
                        <m:sSub>
                          <m:e>
                            <m:r>
                              <m:t>θ</m:t>
                            </m:r>
                          </m:e>
                          <m:sub>
                            <m:r>
                              <m:rPr>
                                <m:sty m:val="i"/>
                              </m:rPr>
                              <m:t>ext</m:t>
                            </m:r>
                          </m:sub>
                        </m:sSub>
                      </m:e>
                    </m:d>
                  </m:num>
                  <m:den>
                    <m:sSub>
                      <m:e>
                        <m:r>
                          <m:rPr>
                            <m:sty m:val="i"/>
                          </m:rPr>
                          <m:t>R</m:t>
                        </m:r>
                      </m:e>
                      <m:sub>
                        <m:r>
                          <m:rPr>
                            <m:sty m:val="i"/>
                          </m:rPr>
                          <m:t>s</m:t>
                        </m:r>
                      </m:sub>
                    </m:sSub>
                  </m:den>
                </m:f>
                <m:d>
                  <m:dPr>
                    <m:begChr m:val="("/>
                    <m:endChr m:val=")"/>
                  </m:dPr>
                  <m:e>
                    <m:f>
                      <m:num>
                        <m:r>
                          <m:t>1</m:t>
                        </m:r>
                      </m:num>
                      <m:den>
                        <m:sSub>
                          <m:e>
                            <m:r>
                              <m:rPr>
                                <m:sty m:val="i"/>
                              </m:rPr>
                              <m:t>h</m:t>
                            </m:r>
                          </m:e>
                          <m:sub>
                            <m:r>
                              <m:rPr>
                                <m:sty m:val="i"/>
                              </m:rPr>
                              <m:t>si</m:t>
                            </m:r>
                          </m:sub>
                        </m:sSub>
                      </m:den>
                    </m:f>
                    <m:r>
                      <m:t>+</m:t>
                    </m:r>
                    <m:sSub>
                      <m:e>
                        <m:r>
                          <m:rPr>
                            <m:sty m:val="i"/>
                          </m:rPr>
                          <m:t>R</m:t>
                        </m:r>
                      </m:e>
                      <m:sub>
                        <m:r>
                          <m:t>2</m:t>
                        </m:r>
                      </m:sub>
                    </m:sSub>
                  </m:e>
                </m:d>
                <m:r>
                  <m:t>=</m:t>
                </m:r>
                <m:r>
                  <m:t>20</m:t>
                </m:r>
                <m:r>
                  <m:t>−</m:t>
                </m:r>
                <m:f>
                  <m:num>
                    <m:d>
                      <m:dPr>
                        <m:begChr m:val="("/>
                        <m:endChr m:val=")"/>
                      </m:dPr>
                      <m:e>
                        <m:r>
                          <m:t>20</m:t>
                        </m:r>
                        <m:r>
                          <m:t>−</m:t>
                        </m:r>
                        <m:r>
                          <m:t>−</m:t>
                        </m:r>
                        <m:r>
                          <m:t>22</m:t>
                        </m:r>
                      </m:e>
                    </m:d>
                  </m:num>
                  <m:den>
                    <m:r>
                      <m:t>1.977</m:t>
                    </m:r>
                  </m:den>
                </m:f>
                <m:r>
                  <m:t>·</m:t>
                </m:r>
                <m:d>
                  <m:dPr>
                    <m:begChr m:val="("/>
                    <m:endChr m:val=")"/>
                  </m:dPr>
                  <m:e>
                    <m:f>
                      <m:num>
                        <m:r>
                          <m:t>1</m:t>
                        </m:r>
                      </m:num>
                      <m:den>
                        <m:r>
                          <m:t>8.7</m:t>
                        </m:r>
                      </m:den>
                    </m:f>
                    <m:r>
                      <m:t>+</m:t>
                    </m:r>
                    <m:r>
                      <m:t>1.818</m:t>
                    </m:r>
                  </m:e>
                </m:d>
                <m:r>
                  <m:t>=</m:t>
                </m:r>
                <m:r>
                  <m:t>−</m:t>
                </m:r>
                <m:r>
                  <m:t>21.076</m:t>
                </m:r>
                <m:r>
                  <m:t xml:space="preserve"> </m:t>
                </m:r>
                <m:r>
                  <m:t>°C</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2" w:name="CadEE_Target_32"/>
            <w:r>
              <w:fldChar w:fldCharType="begin"/>
            </w:r>
            <w:r>
              <w:instrText xml:space="preserve"> SEQ CadEE_Formula \* ARABIC </w:instrText>
            </w:r>
            <w:r>
              <w:fldChar w:fldCharType="separate"/>
            </w:r>
            <w:r>
              <w:t xml:space="preserve">11</w:t>
            </w:r>
            <w:r>
              <w:fldChar w:fldCharType="end"/>
            </w:r>
            <w:bookmarkEnd w:id="32"/>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ext</w:t>
      </w:r>
      <w:r>
        <w:t xml:space="preserve"> - те саме, що у формулі (</w:t>
      </w:r>
      <w:r>
        <w:fldChar w:fldCharType="begin"/>
      </w:r>
      <w:r>
        <w:instrText xml:space="preserve"> REF CadEE_Target_30 \h </w:instrText>
      </w:r>
      <w:r>
        <w:fldChar w:fldCharType="separate"/>
      </w:r>
      <w:r>
        <w:t xml:space="preserve">9</w:t>
      </w:r>
      <w:r>
        <w:fldChar w:fldCharType="end"/>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s</w:t>
      </w:r>
      <w:r>
        <w:t xml:space="preserve"> - те саме, що у формулі (</w:t>
      </w:r>
      <w:r>
        <w:fldChar w:fldCharType="begin"/>
      </w:r>
      <w:r>
        <w:instrText xml:space="preserve"> REF CadEE_Target_20 \h </w:instrText>
      </w:r>
      <w:r>
        <w:fldChar w:fldCharType="separate"/>
      </w:r>
      <w:r>
        <w:t xml:space="preserve">6</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si</w:t>
      </w:r>
      <w:r>
        <w:t xml:space="preserve"> - те саме, що у формулі (</w:t>
      </w:r>
      <w:r>
        <w:fldChar w:fldCharType="begin"/>
      </w:r>
      <w:r>
        <w:instrText xml:space="preserve"> REF CadEE_Target_11 \h </w:instrText>
      </w:r>
      <w:r>
        <w:fldChar w:fldCharType="separate"/>
      </w:r>
      <w:r>
        <w:t xml:space="preserve">2</w:t>
      </w:r>
      <w:r>
        <w:fldChar w:fldCharType="end"/>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2</w:t>
      </w:r>
      <w:r>
        <w:t xml:space="preserve">, див. п. </w:t>
      </w:r>
      <w:r>
        <w:fldChar w:fldCharType="begin"/>
      </w:r>
      <w:r>
        <w:instrText xml:space="preserve"> REF CadEE_Target_25 \n \h </w:instrText>
      </w:r>
      <w:r>
        <w:fldChar w:fldCharType="separate"/>
      </w:r>
      <w:r>
        <w:t xml:space="preserve">1.1.12</w:t>
      </w:r>
      <w:r>
        <w:fldChar w:fldCharType="end"/>
      </w:r>
      <w:r>
        <w:t xml:space="preserve">.</w:t>
      </w:r>
    </w:p>
    <w:p>
      <w:pPr>
        <w:pStyle w:val="CadEENormalText"/>
      </w:pPr>
      <w:r>
        <w:t xml:space="preserve">Температурний перепад між температурою внутрішнього повітря та приведеною температурою внутрішньої поверхні огороджувальної конструкції:</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Δθ</m:t>
                        </m:r>
                      </m:e>
                      <m:sub>
                        <m:r>
                          <m:rPr>
                            <m:sty m:val="i"/>
                          </m:rPr>
                          <m:t>int</m:t>
                        </m:r>
                      </m:sub>
                    </m:sSub>
                  </m:e>
                  <m:sub>
                    <m:r>
                      <m:rPr>
                        <m:sty m:val="i"/>
                      </m:rPr>
                      <m:t>si</m:t>
                    </m:r>
                  </m:sub>
                </m:sSub>
                <m:r>
                  <m:t>=</m:t>
                </m:r>
                <m:sSub>
                  <m:e>
                    <m:r>
                      <m:t>θ</m:t>
                    </m:r>
                  </m:e>
                  <m:sub>
                    <m:r>
                      <m:rPr>
                        <m:sty m:val="i"/>
                      </m:rPr>
                      <m:t>int</m:t>
                    </m:r>
                  </m:sub>
                </m:sSub>
                <m:r>
                  <m:t>−</m:t>
                </m:r>
                <m:sSub>
                  <m:e>
                    <m:r>
                      <m:t>θ</m:t>
                    </m:r>
                  </m:e>
                  <m:sub>
                    <m:r>
                      <m:t>0</m:t>
                    </m:r>
                  </m:sub>
                </m:sSub>
                <m:r>
                  <m:t>=</m:t>
                </m:r>
                <m:r>
                  <m:t>20</m:t>
                </m:r>
                <m:r>
                  <m:t>−</m:t>
                </m:r>
                <m:r>
                  <m:t>17.558</m:t>
                </m:r>
                <m:r>
                  <m:t>=</m:t>
                </m:r>
                <m:r>
                  <m:t>2.442</m:t>
                </m:r>
                <m:r>
                  <m:t xml:space="preserve"> </m:t>
                </m:r>
                <m:r>
                  <m:t>°C</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3" w:name="CadEE_Target_33"/>
            <w:r>
              <w:fldChar w:fldCharType="begin"/>
            </w:r>
            <w:r>
              <w:instrText xml:space="preserve"> SEQ CadEE_Formula \* ARABIC </w:instrText>
            </w:r>
            <w:r>
              <w:fldChar w:fldCharType="separate"/>
            </w:r>
            <w:r>
              <w:t xml:space="preserve">12</w:t>
            </w:r>
            <w:r>
              <w:fldChar w:fldCharType="end"/>
            </w:r>
            <w:bookmarkEnd w:id="33"/>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w:t>
      </w:r>
      <w:r>
        <w:t xml:space="preserve"> - те саме, що у формулі (</w:t>
      </w:r>
      <w:r>
        <w:fldChar w:fldCharType="begin"/>
      </w:r>
      <w:r>
        <w:instrText xml:space="preserve"> REF CadEE_Target_30 \h </w:instrText>
      </w:r>
      <w:r>
        <w:fldChar w:fldCharType="separate"/>
      </w:r>
      <w:r>
        <w:t xml:space="preserve">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0</w:t>
      </w:r>
      <w:r>
        <w:t xml:space="preserve"> - температура на внутрішній поверхні конструкції, див. п. </w:t>
      </w:r>
      <w:r>
        <w:fldChar w:fldCharType="begin"/>
      </w:r>
      <w:r>
        <w:instrText xml:space="preserve"> REF CadEE_Target_29 \n \h </w:instrText>
      </w:r>
      <w:r>
        <w:fldChar w:fldCharType="separate"/>
      </w:r>
      <w:r>
        <w:t xml:space="preserve">1.1.13</w:t>
      </w:r>
      <w:r>
        <w:fldChar w:fldCharType="end"/>
      </w:r>
      <w:r>
        <w:t xml:space="preserve">.</w:t>
      </w:r>
    </w:p>
    <w:p>
      <w:pPr>
        <w:pStyle w:val="CadEENormalText"/>
        <w:numPr>
          <w:ilvl w:val="2"/>
          <w:numId w:val="1"/>
        </w:numPr>
      </w:pPr>
      <w:bookmarkStart w:id="34" w:name="CadEE_Target_34"/>
      <w:r>
        <w:t xml:space="preserve">Температуру точки роси визначаємо за умов, коли температура повітря θ_int дорівнює 20 °С, а відносна вологість становить 55%.</w:t>
      </w:r>
      <w:bookmarkEnd w:id="34"/>
    </w:p>
    <w:p>
      <w:pPr>
        <w:pStyle w:val="CadEEEquationStyle"/>
      </w:pPr>
      <m:oMathPara>
        <m:oMath>
          <m:sSub>
            <m:e>
              <m:r>
                <m:t>θ</m:t>
              </m:r>
            </m:e>
            <m:sub>
              <m:r>
                <m:rPr>
                  <m:sty m:val="i"/>
                </m:rPr>
                <m:t>D</m:t>
              </m:r>
            </m:sub>
          </m:sSub>
          <m:r>
            <m:t>=</m:t>
          </m:r>
          <m:f>
            <m:num>
              <m:r>
                <m:t>237.7</m:t>
              </m:r>
              <m:r>
                <m:t>·</m:t>
              </m:r>
              <m:d>
                <m:dPr>
                  <m:begChr m:val="("/>
                  <m:endChr m:val=")"/>
                </m:dPr>
                <m:e>
                  <m:f>
                    <m:num>
                      <m:r>
                        <m:t>17.27</m:t>
                      </m:r>
                      <m:r>
                        <m:t>·</m:t>
                      </m:r>
                      <m:sSub>
                        <m:e>
                          <m:r>
                            <m:t>θ</m:t>
                          </m:r>
                        </m:e>
                        <m:sub>
                          <m:r>
                            <m:rPr>
                              <m:sty m:val="i"/>
                            </m:rPr>
                            <m:t>int</m:t>
                          </m:r>
                        </m:sub>
                      </m:sSub>
                    </m:num>
                    <m:den>
                      <m:d>
                        <m:dPr>
                          <m:begChr m:val="("/>
                          <m:endChr m:val=")"/>
                        </m:dPr>
                        <m:e>
                          <m:r>
                            <m:t>237.7</m:t>
                          </m:r>
                          <m:r>
                            <m:t>+</m:t>
                          </m:r>
                          <m:sSub>
                            <m:e>
                              <m:r>
                                <m:t>θ</m:t>
                              </m:r>
                            </m:e>
                            <m:sub>
                              <m:r>
                                <m:rPr>
                                  <m:sty m:val="i"/>
                                </m:rPr>
                                <m:t>int</m:t>
                              </m:r>
                            </m:sub>
                          </m:sSub>
                        </m:e>
                      </m:d>
                    </m:den>
                  </m:f>
                  <m:r>
                    <m:t>+</m:t>
                  </m:r>
                  <m:func>
                    <m:fName>
                      <m:r>
                        <m:t>ln</m:t>
                      </m:r>
                    </m:fName>
                    <m:e>
                      <m:f>
                        <m:num>
                          <m:sSub>
                            <m:e>
                              <m:r>
                                <m:t>φ</m:t>
                              </m:r>
                            </m:e>
                            <m:sub>
                              <m:r>
                                <m:rPr>
                                  <m:sty m:val="i"/>
                                </m:rPr>
                                <m:t>int</m:t>
                              </m:r>
                            </m:sub>
                          </m:sSub>
                        </m:num>
                        <m:den>
                          <m:r>
                            <m:t>100</m:t>
                          </m:r>
                        </m:den>
                      </m:f>
                    </m:e>
                  </m:func>
                </m:e>
              </m:d>
            </m:num>
            <m:den>
              <m:d>
                <m:dPr>
                  <m:begChr m:val="("/>
                  <m:endChr m:val=")"/>
                </m:dPr>
                <m:e>
                  <m:r>
                    <m:t>17.27</m:t>
                  </m:r>
                  <m:r>
                    <m:t>−</m:t>
                  </m:r>
                  <m:d>
                    <m:dPr>
                      <m:begChr m:val="("/>
                      <m:endChr m:val=")"/>
                    </m:dPr>
                    <m:e>
                      <m:f>
                        <m:num>
                          <m:sSub>
                            <m:e>
                              <m:r>
                                <m:t>θ</m:t>
                              </m:r>
                            </m:e>
                            <m:sub>
                              <m:r>
                                <m:rPr>
                                  <m:sty m:val="i"/>
                                </m:rPr>
                                <m:t>int</m:t>
                              </m:r>
                            </m:sub>
                          </m:sSub>
                        </m:num>
                        <m:den>
                          <m:d>
                            <m:dPr>
                              <m:begChr m:val="("/>
                              <m:endChr m:val=")"/>
                            </m:dPr>
                            <m:e>
                              <m:r>
                                <m:t>237.7</m:t>
                              </m:r>
                              <m:r>
                                <m:t>+</m:t>
                              </m:r>
                              <m:sSub>
                                <m:e>
                                  <m:r>
                                    <m:t>θ</m:t>
                                  </m:r>
                                </m:e>
                                <m:sub>
                                  <m:r>
                                    <m:rPr>
                                      <m:sty m:val="i"/>
                                    </m:rPr>
                                    <m:t>int</m:t>
                                  </m:r>
                                </m:sub>
                              </m:sSub>
                            </m:e>
                          </m:d>
                        </m:den>
                      </m:f>
                      <m:r>
                        <m:t>+</m:t>
                      </m:r>
                      <m:func>
                        <m:fName>
                          <m:r>
                            <m:t>ln</m:t>
                          </m:r>
                        </m:fName>
                        <m:e>
                          <m:f>
                            <m:num>
                              <m:sSub>
                                <m:e>
                                  <m:r>
                                    <m:t>φ</m:t>
                                  </m:r>
                                </m:e>
                                <m:sub>
                                  <m:r>
                                    <m:rPr>
                                      <m:sty m:val="i"/>
                                    </m:rPr>
                                    <m:t>int</m:t>
                                  </m:r>
                                </m:sub>
                              </m:sSub>
                            </m:num>
                            <m:den>
                              <m:r>
                                <m:t>100</m:t>
                              </m:r>
                            </m:den>
                          </m:f>
                        </m:e>
                      </m:func>
                    </m:e>
                  </m:d>
                </m:e>
              </m:d>
            </m:den>
          </m:f>
          <m:r>
            <m:t>=</m:t>
          </m:r>
          <m:r>
            <m:t>9.92</m:t>
          </m:r>
          <m:r>
            <m:t>°С</m:t>
          </m:r>
        </m:oMath>
      </m:oMathPara>
    </w:p>
    <w:p>
      <w:pPr>
        <w:pStyle w:val="CadEENormalText"/>
        <w:numPr>
          <w:ilvl w:val="2"/>
          <w:numId w:val="1"/>
        </w:numPr>
      </w:pPr>
      <w:bookmarkStart w:id="36" w:name="CadEE_Target_36"/>
      <w:r>
        <w:t xml:space="preserve">Визначення допустимого значення різниці між температурою внутрішнього повітря та приведеною температурою внутрішньої поверхні огороджувальної конструкції визначаємо згідно з п. 5.4 ДБН В.2.6-31:2021:</w:t>
      </w:r>
      <w:bookmarkEnd w:id="3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Δθ</m:t>
                            </m:r>
                          </m:e>
                          <m:sub>
                            <m:r>
                              <m:rPr>
                                <m:sty m:val="i"/>
                              </m:rPr>
                              <m:t>int</m:t>
                            </m:r>
                          </m:sub>
                        </m:sSub>
                      </m:e>
                      <m:sub>
                        <m:r>
                          <m:rPr>
                            <m:sty m:val="i"/>
                          </m:rPr>
                          <m:t>si</m:t>
                        </m:r>
                      </m:sub>
                    </m:sSub>
                  </m:e>
                  <m:sub>
                    <m:r>
                      <m:rPr>
                        <m:sty m:val="i"/>
                      </m:rPr>
                      <m:t>max</m:t>
                    </m:r>
                  </m:sub>
                </m:sSub>
                <m:r>
                  <m:t>=</m:t>
                </m:r>
                <m:r>
                  <m:t>4</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7" w:name="CadEE_Target_37"/>
            <w:r>
              <w:fldChar w:fldCharType="begin"/>
            </w:r>
            <w:r>
              <w:instrText xml:space="preserve"> SEQ CadEE_Formula \* ARABIC </w:instrText>
            </w:r>
            <w:r>
              <w:fldChar w:fldCharType="separate"/>
            </w:r>
            <w:r>
              <w:t xml:space="preserve">13</w:t>
            </w:r>
            <w:r>
              <w:fldChar w:fldCharType="end"/>
            </w:r>
            <w:bookmarkEnd w:id="37"/>
            <w:r>
              <w:t>)</w:t>
            </w:r>
          </w:p>
        </w:tc>
      </w:tr>
    </w:tbl>
    <w:p>
      <w:pPr>
        <w:pStyle w:val="CadEENormalText"/>
        <w:numPr>
          <w:ilvl w:val="2"/>
          <w:numId w:val="1"/>
        </w:numPr>
      </w:pPr>
      <w:bookmarkStart w:id="38" w:name="CadEE_Target_38"/>
      <w:r>
        <w:t xml:space="preserve">Оскільки: </w:t>
      </w:r>
      <w:bookmarkEnd w:id="38"/>
    </w:p>
    <w:p>
      <w:pPr>
        <w:pStyle w:val="CadEEEquationStyle"/>
      </w:pPr>
      <m:oMathPara>
        <m:oMath>
          <m:sSub>
            <m:e>
              <m:sSub>
                <m:e>
                  <m:r>
                    <m:t>Δθ</m:t>
                  </m:r>
                </m:e>
                <m:sub>
                  <m:r>
                    <m:rPr>
                      <m:sty m:val="i"/>
                    </m:rPr>
                    <m:t>int</m:t>
                  </m:r>
                </m:sub>
              </m:sSub>
            </m:e>
            <m:sub>
              <m:r>
                <m:rPr>
                  <m:sty m:val="i"/>
                </m:rPr>
                <m:t>si</m:t>
              </m:r>
            </m:sub>
          </m:sSub>
          <m:r>
            <m:t>=</m:t>
          </m:r>
          <m:r>
            <m:t>2.44</m:t>
          </m:r>
          <m:r>
            <m:t>°C</m:t>
          </m:r>
          <m:r>
            <m:t xml:space="preserve"> </m:t>
          </m:r>
          <m:r>
            <m:t>&lt;</m:t>
          </m:r>
          <m:r>
            <m:t xml:space="preserve"> </m:t>
          </m:r>
          <m:sSub>
            <m:e>
              <m:sSub>
                <m:e>
                  <m:sSub>
                    <m:e>
                      <m:r>
                        <m:t>Δθ</m:t>
                      </m:r>
                    </m:e>
                    <m:sub>
                      <m:r>
                        <m:rPr>
                          <m:sty m:val="i"/>
                        </m:rPr>
                        <m:t>int</m:t>
                      </m:r>
                    </m:sub>
                  </m:sSub>
                </m:e>
                <m:sub>
                  <m:r>
                    <m:rPr>
                      <m:sty m:val="i"/>
                    </m:rPr>
                    <m:t>si</m:t>
                  </m:r>
                </m:sub>
              </m:sSub>
            </m:e>
            <m:sub>
              <m:r>
                <m:rPr>
                  <m:sty m:val="i"/>
                </m:rPr>
                <m:t>max</m:t>
              </m:r>
            </m:sub>
          </m:sSub>
          <m:r>
            <m:t>=</m:t>
          </m:r>
          <m:r>
            <m:t>4</m:t>
          </m:r>
          <m:r>
            <m:t>°C</m:t>
          </m:r>
        </m:oMath>
      </m:oMathPara>
    </w:p>
    <w:p>
      <w:pPr>
        <w:pStyle w:val="CadEENormalText"/>
      </w:pPr>
      <w:r>
        <w:t xml:space="preserve">то умова (5) ДБН В.2.6-31:2021 виконується.</w:t>
      </w:r>
    </w:p>
    <w:p>
      <w:pPr>
        <w:pStyle w:val="CadEENormalText"/>
        <w:numPr>
          <w:ilvl w:val="2"/>
          <w:numId w:val="1"/>
        </w:numPr>
      </w:pPr>
      <w:bookmarkStart w:id="40" w:name="CadEE_Target_40"/>
      <w:r>
        <w:t xml:space="preserve">Мінімально допустиме значення температури внутрішньої поверхні непрозорих огороджувальних конструкцій у зонах теплопровідних включень, θsi,min, у кутах і укосах віконних і дверних прорізів, прийнятому залежно від температурної зони експлуатації будівлі згідно з додатком А ДБН В.2.6-31:2021, повинно бути не менше ніж температура точки роси. Перевірка виконання вимог п. 5.5.1 ДБН В.2.6-31:2021</w:t>
      </w:r>
      <w:bookmarkEnd w:id="40"/>
    </w:p>
    <w:p>
      <w:pPr>
        <w:pStyle w:val="CadEENormalText"/>
      </w:pPr>
      <w:r>
        <w:t xml:space="preserve">Оскільки: </w:t>
      </w:r>
    </w:p>
    <w:p>
      <w:pPr>
        <w:pStyle w:val="CadEEEquationStyle"/>
      </w:pPr>
      <m:oMathPara>
        <m:oMath>
          <m:sSub>
            <m:e>
              <m:r>
                <m:t>θ</m:t>
              </m:r>
            </m:e>
            <m:sub>
              <m:r>
                <m:t>0</m:t>
              </m:r>
            </m:sub>
          </m:sSub>
          <m:r>
            <m:t>=</m:t>
          </m:r>
          <m:r>
            <m:t>17.56</m:t>
          </m:r>
          <m:r>
            <m:t>°C</m:t>
          </m:r>
          <m:r>
            <m:t xml:space="preserve"> </m:t>
          </m:r>
          <m:r>
            <m:t>&gt;</m:t>
          </m:r>
          <m:r>
            <m:t xml:space="preserve"> </m:t>
          </m:r>
          <m:sSub>
            <m:e>
              <m:r>
                <m:t>θ</m:t>
              </m:r>
            </m:e>
            <m:sub>
              <m:r>
                <m:rPr>
                  <m:sty m:val="i"/>
                </m:rPr>
                <m:t>D</m:t>
              </m:r>
            </m:sub>
          </m:sSub>
          <m:r>
            <m:t>=</m:t>
          </m:r>
          <m:r>
            <m:t>9.92</m:t>
          </m:r>
          <m:r>
            <m:t>°C</m:t>
          </m:r>
        </m:oMath>
      </m:oMathPara>
    </w:p>
    <w:p>
      <w:pPr>
        <w:pStyle w:val="CadEENormalText"/>
      </w:pPr>
      <w:r>
        <w:t xml:space="preserve">то умова п. 5.5.1 ДБН В.2.6-31:2021 виконується.</w:t>
      </w:r>
    </w:p>
    <w:p>
      <w:pPr>
        <w:pStyle w:val="CadEEHeadingLevel2"/>
        <w:numPr>
          <w:ilvl w:val="1"/>
          <w:numId w:val="1"/>
        </w:numPr>
      </w:pPr>
      <w:bookmarkStart w:id="42" w:name="CadEE_Target_42"/>
      <w:r>
        <w:t xml:space="preserve">Оцінка тепловологісного стану конструкції. стіна №1. </w:t>
      </w:r>
      <w:bookmarkEnd w:id="42"/>
    </w:p>
    <w:p>
      <w:pPr>
        <w:pStyle w:val="CadEENormalText"/>
      </w:pPr>
      <w:r>
        <w:t xml:space="preserve">Оцінку тепловологісного стану конструкції виконуємо згідно з вимогами ДСТУ Б В.2.6-192:2013.</w:t>
      </w:r>
    </w:p>
    <w:p>
      <w:pPr>
        <w:pStyle w:val="CadEENormalText"/>
        <w:numPr>
          <w:ilvl w:val="2"/>
          <w:numId w:val="1"/>
        </w:numPr>
      </w:pPr>
      <w:bookmarkStart w:id="43" w:name="CadEE_Target_43"/>
      <w:r>
        <w:t xml:space="preserve">Розподіл температур по товщині конструкції  виконуємо згідно з ф. (5) ДСТУ Б В.2.6-192:2013.Розрахункові значення температури та відносної вологості внутрішнього повітря визначаємо згідно з додатком Б ДБН В.2.6-31:2021</w:t>
      </w:r>
      <w:bookmarkEnd w:id="43"/>
    </w:p>
    <w:p>
      <w:pPr>
        <w:pStyle w:val="CadEEEquationStyle"/>
      </w:pPr>
      <m:oMathPara>
        <m:oMath>
          <m:sSub>
            <m:e>
              <m:r>
                <m:t>θ</m:t>
              </m:r>
            </m:e>
            <m:sub>
              <m:r>
                <m:rPr>
                  <m:sty m:val="i"/>
                </m:rPr>
                <m:t>int</m:t>
              </m:r>
            </m:sub>
          </m:sSub>
          <m:r>
            <m:t>=</m:t>
          </m:r>
          <m:r>
            <m:t>20</m:t>
          </m:r>
          <m:r>
            <m:t>°С;</m:t>
          </m:r>
          <m:r>
            <m:t xml:space="preserve"> </m:t>
          </m:r>
          <m:sSub>
            <m:e>
              <m:r>
                <m:t>φ</m:t>
              </m:r>
            </m:e>
            <m:sub>
              <m:r>
                <m:rPr>
                  <m:sty m:val="i"/>
                </m:rPr>
                <m:t>int</m:t>
              </m:r>
            </m:sub>
          </m:sSub>
          <m:r>
            <m:t>=</m:t>
          </m:r>
          <m:r>
            <m:t>55</m:t>
          </m:r>
          <m:r>
            <m:t>%</m:t>
          </m:r>
        </m:oMath>
      </m:oMathPara>
    </w:p>
    <w:p>
      <w:pPr>
        <w:pStyle w:val="CadEENormalText"/>
        <w:numPr>
          <w:ilvl w:val="2"/>
          <w:numId w:val="1"/>
        </w:numPr>
      </w:pPr>
      <w:bookmarkStart w:id="45" w:name="CadEE_Target_45"/>
      <w:r>
        <w:t xml:space="preserve">Розрахункові значення температури та відносної вологості зовнішнього повітря визначаємо згідно з табл. 2 та табл. 24  ДСТУ-Н Б В.1.1-27:2010, як для середньої місячної температури повітря в січні для міста Львів (п.4.2.4.4 та п.4.2.4.3 ДСТУ Б В.2.6-192:2013):</w:t>
      </w:r>
      <w:bookmarkEnd w:id="45"/>
    </w:p>
    <w:p>
      <w:pPr>
        <w:pStyle w:val="CadEETableCaption"/>
      </w:pPr>
      <w:r>
        <w:t xml:space="preserve">Таблиця №</w:t>
      </w:r>
      <w:bookmarkStart w:id="46" w:name="CadEE_Target_46"/>
      <w:r>
        <w:fldChar w:fldCharType="begin"/>
      </w:r>
      <w:r>
        <w:instrText xml:space="preserve"> SEQ CadEE_Table \* ARABIC </w:instrText>
      </w:r>
      <w:r>
        <w:fldChar w:fldCharType="separate"/>
      </w:r>
      <w:r>
        <w:t xml:space="preserve">1.3</w:t>
      </w:r>
      <w:r>
        <w:fldChar w:fldCharType="end"/>
      </w:r>
      <w:bookmarkEnd w:id="46"/>
      <w:r>
        <w:t xml:space="preserve">. Середньомісячні значення температури та відносної вологості зовнішнього повітря для м. Львів</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2894"/>
        <w:gridCol w:w="620"/>
        <w:gridCol w:w="620"/>
        <w:gridCol w:w="620"/>
        <w:gridCol w:w="620"/>
        <w:gridCol w:w="620"/>
        <w:gridCol w:w="620"/>
        <w:gridCol w:w="620"/>
        <w:gridCol w:w="620"/>
        <w:gridCol w:w="620"/>
        <w:gridCol w:w="620"/>
        <w:gridCol w:w="620"/>
        <w:gridCol w:w="620"/>
      </w:tblGrid>
      <w:tr>
        <w:trPr>
          <w:tblHeader/>
        </w:trPr>
        <w:tc>
          <w:tcPr>
            <w:tcW w:w="2894" w:type="dxa"/>
            <w:vAlign w:val="center"/>
            <w:tcMar>
              <w:top w:w="60" w:type="dxa"/>
              <w:left w:w="70" w:type="dxa"/>
              <w:bottom w:w="60" w:type="dxa"/>
              <w:right w:w="70" w:type="dxa"/>
            </w:tcMar>
            <w:shd w:val="clear" w:color="auto" w:fill="EDEDED"/>
          </w:tcPr>
          <w:p>
            <w:pPr>
              <w:pStyle w:val="CadEETableHeadStyle"/>
            </w:pPr>
            <w:r>
              <w:rPr>
                <w:b/>
              </w:rPr>
              <w:t>Місяць</w:t>
            </w:r>
          </w:p>
        </w:tc>
        <w:tc>
          <w:tcPr>
            <w:tcW w:w="620" w:type="dxa"/>
            <w:vAlign w:val="center"/>
            <w:tcMar>
              <w:top w:w="60" w:type="dxa"/>
              <w:left w:w="70" w:type="dxa"/>
              <w:bottom w:w="60" w:type="dxa"/>
              <w:right w:w="70" w:type="dxa"/>
            </w:tcMar>
            <w:shd w:val="clear" w:color="auto" w:fill="EDEDED"/>
          </w:tcPr>
          <w:p>
            <w:pPr>
              <w:pStyle w:val="CadEETableHeadStyle"/>
            </w:pPr>
            <w:r>
              <w:rPr>
                <w:b/>
              </w:rPr>
              <w:t>I</w:t>
            </w:r>
          </w:p>
        </w:tc>
        <w:tc>
          <w:tcPr>
            <w:tcW w:w="620" w:type="dxa"/>
            <w:vAlign w:val="center"/>
            <w:tcMar>
              <w:top w:w="60" w:type="dxa"/>
              <w:left w:w="70" w:type="dxa"/>
              <w:bottom w:w="60" w:type="dxa"/>
              <w:right w:w="70" w:type="dxa"/>
            </w:tcMar>
            <w:shd w:val="clear" w:color="auto" w:fill="EDEDED"/>
          </w:tcPr>
          <w:p>
            <w:pPr>
              <w:pStyle w:val="CadEETableHeadStyle"/>
            </w:pPr>
            <w:r>
              <w:rPr>
                <w:b/>
              </w:rPr>
              <w:t>II</w:t>
            </w:r>
          </w:p>
        </w:tc>
        <w:tc>
          <w:tcPr>
            <w:tcW w:w="620" w:type="dxa"/>
            <w:vAlign w:val="center"/>
            <w:tcMar>
              <w:top w:w="60" w:type="dxa"/>
              <w:left w:w="70" w:type="dxa"/>
              <w:bottom w:w="60" w:type="dxa"/>
              <w:right w:w="70" w:type="dxa"/>
            </w:tcMar>
            <w:shd w:val="clear" w:color="auto" w:fill="EDEDED"/>
          </w:tcPr>
          <w:p>
            <w:pPr>
              <w:pStyle w:val="CadEETableHeadStyle"/>
            </w:pPr>
            <w:r>
              <w:rPr>
                <w:b/>
              </w:rPr>
              <w:t>III</w:t>
            </w:r>
          </w:p>
        </w:tc>
        <w:tc>
          <w:tcPr>
            <w:tcW w:w="620" w:type="dxa"/>
            <w:vAlign w:val="center"/>
            <w:tcMar>
              <w:top w:w="60" w:type="dxa"/>
              <w:left w:w="70" w:type="dxa"/>
              <w:bottom w:w="60" w:type="dxa"/>
              <w:right w:w="70" w:type="dxa"/>
            </w:tcMar>
            <w:shd w:val="clear" w:color="auto" w:fill="EDEDED"/>
          </w:tcPr>
          <w:p>
            <w:pPr>
              <w:pStyle w:val="CadEETableHeadStyle"/>
            </w:pPr>
            <w:r>
              <w:rPr>
                <w:b/>
              </w:rPr>
              <w:t>IV</w:t>
            </w:r>
          </w:p>
        </w:tc>
        <w:tc>
          <w:tcPr>
            <w:tcW w:w="620" w:type="dxa"/>
            <w:vAlign w:val="center"/>
            <w:tcMar>
              <w:top w:w="60" w:type="dxa"/>
              <w:left w:w="70" w:type="dxa"/>
              <w:bottom w:w="60" w:type="dxa"/>
              <w:right w:w="70" w:type="dxa"/>
            </w:tcMar>
            <w:shd w:val="clear" w:color="auto" w:fill="EDEDED"/>
          </w:tcPr>
          <w:p>
            <w:pPr>
              <w:pStyle w:val="CadEETableHeadStyle"/>
            </w:pPr>
            <w:r>
              <w:rPr>
                <w:b/>
              </w:rPr>
              <w:t>V</w:t>
            </w:r>
          </w:p>
        </w:tc>
        <w:tc>
          <w:tcPr>
            <w:tcW w:w="620" w:type="dxa"/>
            <w:vAlign w:val="center"/>
            <w:tcMar>
              <w:top w:w="60" w:type="dxa"/>
              <w:left w:w="70" w:type="dxa"/>
              <w:bottom w:w="60" w:type="dxa"/>
              <w:right w:w="70" w:type="dxa"/>
            </w:tcMar>
            <w:shd w:val="clear" w:color="auto" w:fill="EDEDED"/>
          </w:tcPr>
          <w:p>
            <w:pPr>
              <w:pStyle w:val="CadEETableHeadStyle"/>
            </w:pPr>
            <w:r>
              <w:rPr>
                <w:b/>
              </w:rPr>
              <w:t>VI</w:t>
            </w:r>
          </w:p>
        </w:tc>
        <w:tc>
          <w:tcPr>
            <w:tcW w:w="620" w:type="dxa"/>
            <w:vAlign w:val="center"/>
            <w:tcMar>
              <w:top w:w="60" w:type="dxa"/>
              <w:left w:w="70" w:type="dxa"/>
              <w:bottom w:w="60" w:type="dxa"/>
              <w:right w:w="70" w:type="dxa"/>
            </w:tcMar>
            <w:shd w:val="clear" w:color="auto" w:fill="EDEDED"/>
          </w:tcPr>
          <w:p>
            <w:pPr>
              <w:pStyle w:val="CadEETableHeadStyle"/>
            </w:pPr>
            <w:r>
              <w:rPr>
                <w:b/>
              </w:rPr>
              <w:t>VII</w:t>
            </w:r>
          </w:p>
        </w:tc>
        <w:tc>
          <w:tcPr>
            <w:tcW w:w="620" w:type="dxa"/>
            <w:vAlign w:val="center"/>
            <w:tcMar>
              <w:top w:w="60" w:type="dxa"/>
              <w:left w:w="70" w:type="dxa"/>
              <w:bottom w:w="60" w:type="dxa"/>
              <w:right w:w="70" w:type="dxa"/>
            </w:tcMar>
            <w:shd w:val="clear" w:color="auto" w:fill="EDEDED"/>
          </w:tcPr>
          <w:p>
            <w:pPr>
              <w:pStyle w:val="CadEETableHeadStyle"/>
            </w:pPr>
            <w:r>
              <w:rPr>
                <w:b/>
              </w:rPr>
              <w:t>VIII</w:t>
            </w:r>
          </w:p>
        </w:tc>
        <w:tc>
          <w:tcPr>
            <w:tcW w:w="620" w:type="dxa"/>
            <w:vAlign w:val="center"/>
            <w:tcMar>
              <w:top w:w="60" w:type="dxa"/>
              <w:left w:w="70" w:type="dxa"/>
              <w:bottom w:w="60" w:type="dxa"/>
              <w:right w:w="70" w:type="dxa"/>
            </w:tcMar>
            <w:shd w:val="clear" w:color="auto" w:fill="EDEDED"/>
          </w:tcPr>
          <w:p>
            <w:pPr>
              <w:pStyle w:val="CadEETableHeadStyle"/>
            </w:pPr>
            <w:r>
              <w:rPr>
                <w:b/>
              </w:rPr>
              <w:t>IX</w:t>
            </w:r>
          </w:p>
        </w:tc>
        <w:tc>
          <w:tcPr>
            <w:tcW w:w="620" w:type="dxa"/>
            <w:vAlign w:val="center"/>
            <w:tcMar>
              <w:top w:w="60" w:type="dxa"/>
              <w:left w:w="70" w:type="dxa"/>
              <w:bottom w:w="60" w:type="dxa"/>
              <w:right w:w="70" w:type="dxa"/>
            </w:tcMar>
            <w:shd w:val="clear" w:color="auto" w:fill="EDEDED"/>
          </w:tcPr>
          <w:p>
            <w:pPr>
              <w:pStyle w:val="CadEETableHeadStyle"/>
            </w:pPr>
            <w:r>
              <w:rPr>
                <w:b/>
              </w:rPr>
              <w:t>X</w:t>
            </w:r>
          </w:p>
        </w:tc>
        <w:tc>
          <w:tcPr>
            <w:tcW w:w="620" w:type="dxa"/>
            <w:vAlign w:val="center"/>
            <w:tcMar>
              <w:top w:w="60" w:type="dxa"/>
              <w:left w:w="70" w:type="dxa"/>
              <w:bottom w:w="60" w:type="dxa"/>
              <w:right w:w="70" w:type="dxa"/>
            </w:tcMar>
            <w:shd w:val="clear" w:color="auto" w:fill="EDEDED"/>
          </w:tcPr>
          <w:p>
            <w:pPr>
              <w:pStyle w:val="CadEETableHeadStyle"/>
            </w:pPr>
            <w:r>
              <w:rPr>
                <w:b/>
              </w:rPr>
              <w:t>XI</w:t>
            </w:r>
          </w:p>
        </w:tc>
        <w:tc>
          <w:tcPr>
            <w:tcW w:w="620" w:type="dxa"/>
            <w:vAlign w:val="center"/>
            <w:tcMar>
              <w:top w:w="60" w:type="dxa"/>
              <w:left w:w="70" w:type="dxa"/>
              <w:bottom w:w="60" w:type="dxa"/>
              <w:right w:w="70" w:type="dxa"/>
            </w:tcMar>
            <w:shd w:val="clear" w:color="auto" w:fill="EDEDED"/>
          </w:tcPr>
          <w:p>
            <w:pPr>
              <w:pStyle w:val="CadEETableHeadStyle"/>
            </w:pPr>
            <w:r>
              <w:rPr>
                <w:b/>
              </w:rPr>
              <w:t>XII</w:t>
            </w:r>
          </w:p>
        </w:tc>
      </w:tr>
      <w:tr>
        <w:tc>
          <w:tcPr>
            <w:tcW w:w="2894" w:type="dxa"/>
            <w:vAlign w:val="center"/>
            <w:tcMar>
              <w:top w:w="60" w:type="dxa"/>
              <w:left w:w="70" w:type="dxa"/>
              <w:bottom w:w="60" w:type="dxa"/>
              <w:right w:w="70" w:type="dxa"/>
            </w:tcMar>
          </w:tcPr>
          <w:p>
            <w:pPr>
              <w:pStyle w:val="CadEETableStyle"/>
            </w:pPr>
            <w:r>
              <w:t>Температура, °С</w:t>
            </w:r>
          </w:p>
        </w:tc>
        <w:tc>
          <w:tcPr>
            <w:tcW w:w="620" w:type="dxa"/>
            <w:vAlign w:val="center"/>
            <w:tcMar>
              <w:top w:w="60" w:type="dxa"/>
              <w:left w:w="70" w:type="dxa"/>
              <w:bottom w:w="60" w:type="dxa"/>
              <w:right w:w="70" w:type="dxa"/>
            </w:tcMar>
          </w:tcPr>
          <w:p>
            <w:pPr>
              <w:pStyle w:val="CadEETableStyle"/>
            </w:pPr>
            <w:r>
              <w:t>-4</w:t>
            </w:r>
          </w:p>
        </w:tc>
        <w:tc>
          <w:tcPr>
            <w:tcW w:w="620" w:type="dxa"/>
            <w:vAlign w:val="center"/>
            <w:tcMar>
              <w:top w:w="60" w:type="dxa"/>
              <w:left w:w="70" w:type="dxa"/>
              <w:bottom w:w="60" w:type="dxa"/>
              <w:right w:w="70" w:type="dxa"/>
            </w:tcMar>
          </w:tcPr>
          <w:p>
            <w:pPr>
              <w:pStyle w:val="CadEETableStyle"/>
            </w:pPr>
            <w:r>
              <w:t>-2.7</w:t>
            </w:r>
          </w:p>
        </w:tc>
        <w:tc>
          <w:tcPr>
            <w:tcW w:w="620" w:type="dxa"/>
            <w:vAlign w:val="center"/>
            <w:tcMar>
              <w:top w:w="60" w:type="dxa"/>
              <w:left w:w="70" w:type="dxa"/>
              <w:bottom w:w="60" w:type="dxa"/>
              <w:right w:w="70" w:type="dxa"/>
            </w:tcMar>
          </w:tcPr>
          <w:p>
            <w:pPr>
              <w:pStyle w:val="CadEETableStyle"/>
            </w:pPr>
            <w:r>
              <w:t>1.4</w:t>
            </w:r>
          </w:p>
        </w:tc>
        <w:tc>
          <w:tcPr>
            <w:tcW w:w="620" w:type="dxa"/>
            <w:vAlign w:val="center"/>
            <w:tcMar>
              <w:top w:w="60" w:type="dxa"/>
              <w:left w:w="70" w:type="dxa"/>
              <w:bottom w:w="60" w:type="dxa"/>
              <w:right w:w="70" w:type="dxa"/>
            </w:tcMar>
          </w:tcPr>
          <w:p>
            <w:pPr>
              <w:pStyle w:val="CadEETableStyle"/>
            </w:pPr>
            <w:r>
              <w:t>7.9</w:t>
            </w:r>
          </w:p>
        </w:tc>
        <w:tc>
          <w:tcPr>
            <w:tcW w:w="620" w:type="dxa"/>
            <w:vAlign w:val="center"/>
            <w:tcMar>
              <w:top w:w="60" w:type="dxa"/>
              <w:left w:w="70" w:type="dxa"/>
              <w:bottom w:w="60" w:type="dxa"/>
              <w:right w:w="70" w:type="dxa"/>
            </w:tcMar>
          </w:tcPr>
          <w:p>
            <w:pPr>
              <w:pStyle w:val="CadEETableStyle"/>
            </w:pPr>
            <w:r>
              <w:t>13.4</w:t>
            </w:r>
          </w:p>
        </w:tc>
        <w:tc>
          <w:tcPr>
            <w:tcW w:w="620" w:type="dxa"/>
            <w:vAlign w:val="center"/>
            <w:tcMar>
              <w:top w:w="60" w:type="dxa"/>
              <w:left w:w="70" w:type="dxa"/>
              <w:bottom w:w="60" w:type="dxa"/>
              <w:right w:w="70" w:type="dxa"/>
            </w:tcMar>
          </w:tcPr>
          <w:p>
            <w:pPr>
              <w:pStyle w:val="CadEETableStyle"/>
            </w:pPr>
            <w:r>
              <w:t>16.3</w:t>
            </w:r>
          </w:p>
        </w:tc>
        <w:tc>
          <w:tcPr>
            <w:tcW w:w="620" w:type="dxa"/>
            <w:vAlign w:val="center"/>
            <w:tcMar>
              <w:top w:w="60" w:type="dxa"/>
              <w:left w:w="70" w:type="dxa"/>
              <w:bottom w:w="60" w:type="dxa"/>
              <w:right w:w="70" w:type="dxa"/>
            </w:tcMar>
          </w:tcPr>
          <w:p>
            <w:pPr>
              <w:pStyle w:val="CadEETableStyle"/>
            </w:pPr>
            <w:r>
              <w:t>17.7</w:t>
            </w:r>
          </w:p>
        </w:tc>
        <w:tc>
          <w:tcPr>
            <w:tcW w:w="620" w:type="dxa"/>
            <w:vAlign w:val="center"/>
            <w:tcMar>
              <w:top w:w="60" w:type="dxa"/>
              <w:left w:w="70" w:type="dxa"/>
              <w:bottom w:w="60" w:type="dxa"/>
              <w:right w:w="70" w:type="dxa"/>
            </w:tcMar>
          </w:tcPr>
          <w:p>
            <w:pPr>
              <w:pStyle w:val="CadEETableStyle"/>
            </w:pPr>
            <w:r>
              <w:t>17.2</w:t>
            </w:r>
          </w:p>
        </w:tc>
        <w:tc>
          <w:tcPr>
            <w:tcW w:w="620" w:type="dxa"/>
            <w:vAlign w:val="center"/>
            <w:tcMar>
              <w:top w:w="60" w:type="dxa"/>
              <w:left w:w="70" w:type="dxa"/>
              <w:bottom w:w="60" w:type="dxa"/>
              <w:right w:w="70" w:type="dxa"/>
            </w:tcMar>
          </w:tcPr>
          <w:p>
            <w:pPr>
              <w:pStyle w:val="CadEETableStyle"/>
            </w:pPr>
            <w:r>
              <w:t>13</w:t>
            </w:r>
          </w:p>
        </w:tc>
        <w:tc>
          <w:tcPr>
            <w:tcW w:w="620" w:type="dxa"/>
            <w:vAlign w:val="center"/>
            <w:tcMar>
              <w:top w:w="60" w:type="dxa"/>
              <w:left w:w="70" w:type="dxa"/>
              <w:bottom w:w="60" w:type="dxa"/>
              <w:right w:w="70" w:type="dxa"/>
            </w:tcMar>
          </w:tcPr>
          <w:p>
            <w:pPr>
              <w:pStyle w:val="CadEETableStyle"/>
            </w:pPr>
            <w:r>
              <w:t>8</w:t>
            </w:r>
          </w:p>
        </w:tc>
        <w:tc>
          <w:tcPr>
            <w:tcW w:w="620" w:type="dxa"/>
            <w:vAlign w:val="center"/>
            <w:tcMar>
              <w:top w:w="60" w:type="dxa"/>
              <w:left w:w="70" w:type="dxa"/>
              <w:bottom w:w="60" w:type="dxa"/>
              <w:right w:w="70" w:type="dxa"/>
            </w:tcMar>
          </w:tcPr>
          <w:p>
            <w:pPr>
              <w:pStyle w:val="CadEETableStyle"/>
            </w:pPr>
            <w:r>
              <w:t>2.5</w:t>
            </w:r>
          </w:p>
        </w:tc>
        <w:tc>
          <w:tcPr>
            <w:tcW w:w="620" w:type="dxa"/>
            <w:vAlign w:val="center"/>
            <w:tcMar>
              <w:top w:w="60" w:type="dxa"/>
              <w:left w:w="70" w:type="dxa"/>
              <w:bottom w:w="60" w:type="dxa"/>
              <w:right w:w="70" w:type="dxa"/>
            </w:tcMar>
          </w:tcPr>
          <w:p>
            <w:pPr>
              <w:pStyle w:val="CadEETableStyle"/>
            </w:pPr>
            <w:r>
              <w:t>-2.2</w:t>
            </w:r>
          </w:p>
        </w:tc>
      </w:tr>
      <w:tr>
        <w:tc>
          <w:tcPr>
            <w:tcW w:w="2894" w:type="dxa"/>
            <w:vAlign w:val="center"/>
            <w:tcMar>
              <w:top w:w="60" w:type="dxa"/>
              <w:left w:w="70" w:type="dxa"/>
              <w:bottom w:w="60" w:type="dxa"/>
              <w:right w:w="70" w:type="dxa"/>
            </w:tcMar>
          </w:tcPr>
          <w:p>
            <w:pPr>
              <w:pStyle w:val="CadEETableStyle"/>
            </w:pPr>
            <w:r>
              <w:t>Відносна вологість, %</w:t>
            </w:r>
          </w:p>
        </w:tc>
        <w:tc>
          <w:tcPr>
            <w:tcW w:w="620" w:type="dxa"/>
            <w:vAlign w:val="center"/>
            <w:tcMar>
              <w:top w:w="60" w:type="dxa"/>
              <w:left w:w="70" w:type="dxa"/>
              <w:bottom w:w="60" w:type="dxa"/>
              <w:right w:w="70" w:type="dxa"/>
            </w:tcMar>
          </w:tcPr>
          <w:p>
            <w:pPr>
              <w:pStyle w:val="CadEETableStyle"/>
            </w:pPr>
            <w:r>
              <w:t>84</w:t>
            </w:r>
          </w:p>
        </w:tc>
        <w:tc>
          <w:tcPr>
            <w:tcW w:w="620" w:type="dxa"/>
            <w:vAlign w:val="center"/>
            <w:tcMar>
              <w:top w:w="60" w:type="dxa"/>
              <w:left w:w="70" w:type="dxa"/>
              <w:bottom w:w="60" w:type="dxa"/>
              <w:right w:w="70" w:type="dxa"/>
            </w:tcMar>
          </w:tcPr>
          <w:p>
            <w:pPr>
              <w:pStyle w:val="CadEETableStyle"/>
            </w:pPr>
            <w:r>
              <w:t>83</w:t>
            </w:r>
          </w:p>
        </w:tc>
        <w:tc>
          <w:tcPr>
            <w:tcW w:w="620" w:type="dxa"/>
            <w:vAlign w:val="center"/>
            <w:tcMar>
              <w:top w:w="60" w:type="dxa"/>
              <w:left w:w="70" w:type="dxa"/>
              <w:bottom w:w="60" w:type="dxa"/>
              <w:right w:w="70" w:type="dxa"/>
            </w:tcMar>
          </w:tcPr>
          <w:p>
            <w:pPr>
              <w:pStyle w:val="CadEETableStyle"/>
            </w:pPr>
            <w:r>
              <w:t>78</w:t>
            </w:r>
          </w:p>
        </w:tc>
        <w:tc>
          <w:tcPr>
            <w:tcW w:w="620" w:type="dxa"/>
            <w:vAlign w:val="center"/>
            <w:tcMar>
              <w:top w:w="60" w:type="dxa"/>
              <w:left w:w="70" w:type="dxa"/>
              <w:bottom w:w="60" w:type="dxa"/>
              <w:right w:w="70" w:type="dxa"/>
            </w:tcMar>
          </w:tcPr>
          <w:p>
            <w:pPr>
              <w:pStyle w:val="CadEETableStyle"/>
            </w:pPr>
            <w:r>
              <w:t>72</w:t>
            </w:r>
          </w:p>
        </w:tc>
        <w:tc>
          <w:tcPr>
            <w:tcW w:w="620" w:type="dxa"/>
            <w:vAlign w:val="center"/>
            <w:tcMar>
              <w:top w:w="60" w:type="dxa"/>
              <w:left w:w="70" w:type="dxa"/>
              <w:bottom w:w="60" w:type="dxa"/>
              <w:right w:w="70" w:type="dxa"/>
            </w:tcMar>
          </w:tcPr>
          <w:p>
            <w:pPr>
              <w:pStyle w:val="CadEETableStyle"/>
            </w:pPr>
            <w:r>
              <w:t>72</w:t>
            </w:r>
          </w:p>
        </w:tc>
        <w:tc>
          <w:tcPr>
            <w:tcW w:w="620" w:type="dxa"/>
            <w:vAlign w:val="center"/>
            <w:tcMar>
              <w:top w:w="60" w:type="dxa"/>
              <w:left w:w="70" w:type="dxa"/>
              <w:bottom w:w="60" w:type="dxa"/>
              <w:right w:w="70" w:type="dxa"/>
            </w:tcMar>
          </w:tcPr>
          <w:p>
            <w:pPr>
              <w:pStyle w:val="CadEETableStyle"/>
            </w:pPr>
            <w:r>
              <w:t>74</w:t>
            </w:r>
          </w:p>
        </w:tc>
        <w:tc>
          <w:tcPr>
            <w:tcW w:w="620" w:type="dxa"/>
            <w:vAlign w:val="center"/>
            <w:tcMar>
              <w:top w:w="60" w:type="dxa"/>
              <w:left w:w="70" w:type="dxa"/>
              <w:bottom w:w="60" w:type="dxa"/>
              <w:right w:w="70" w:type="dxa"/>
            </w:tcMar>
          </w:tcPr>
          <w:p>
            <w:pPr>
              <w:pStyle w:val="CadEETableStyle"/>
            </w:pPr>
            <w:r>
              <w:t>75</w:t>
            </w:r>
          </w:p>
        </w:tc>
        <w:tc>
          <w:tcPr>
            <w:tcW w:w="620" w:type="dxa"/>
            <w:vAlign w:val="center"/>
            <w:tcMar>
              <w:top w:w="60" w:type="dxa"/>
              <w:left w:w="70" w:type="dxa"/>
              <w:bottom w:w="60" w:type="dxa"/>
              <w:right w:w="70" w:type="dxa"/>
            </w:tcMar>
          </w:tcPr>
          <w:p>
            <w:pPr>
              <w:pStyle w:val="CadEETableStyle"/>
            </w:pPr>
            <w:r>
              <w:t>76</w:t>
            </w:r>
          </w:p>
        </w:tc>
        <w:tc>
          <w:tcPr>
            <w:tcW w:w="620" w:type="dxa"/>
            <w:vAlign w:val="center"/>
            <w:tcMar>
              <w:top w:w="60" w:type="dxa"/>
              <w:left w:w="70" w:type="dxa"/>
              <w:bottom w:w="60" w:type="dxa"/>
              <w:right w:w="70" w:type="dxa"/>
            </w:tcMar>
          </w:tcPr>
          <w:p>
            <w:pPr>
              <w:pStyle w:val="CadEETableStyle"/>
            </w:pPr>
            <w:r>
              <w:t>79</w:t>
            </w:r>
          </w:p>
        </w:tc>
        <w:tc>
          <w:tcPr>
            <w:tcW w:w="620" w:type="dxa"/>
            <w:vAlign w:val="center"/>
            <w:tcMar>
              <w:top w:w="60" w:type="dxa"/>
              <w:left w:w="70" w:type="dxa"/>
              <w:bottom w:w="60" w:type="dxa"/>
              <w:right w:w="70" w:type="dxa"/>
            </w:tcMar>
          </w:tcPr>
          <w:p>
            <w:pPr>
              <w:pStyle w:val="CadEETableStyle"/>
            </w:pPr>
            <w:r>
              <w:t>81</w:t>
            </w:r>
          </w:p>
        </w:tc>
        <w:tc>
          <w:tcPr>
            <w:tcW w:w="620" w:type="dxa"/>
            <w:vAlign w:val="center"/>
            <w:tcMar>
              <w:top w:w="60" w:type="dxa"/>
              <w:left w:w="70" w:type="dxa"/>
              <w:bottom w:w="60" w:type="dxa"/>
              <w:right w:w="70" w:type="dxa"/>
            </w:tcMar>
          </w:tcPr>
          <w:p>
            <w:pPr>
              <w:pStyle w:val="CadEETableStyle"/>
            </w:pPr>
            <w:r>
              <w:t>85</w:t>
            </w:r>
          </w:p>
        </w:tc>
        <w:tc>
          <w:tcPr>
            <w:tcW w:w="620" w:type="dxa"/>
            <w:vAlign w:val="center"/>
            <w:tcMar>
              <w:top w:w="60" w:type="dxa"/>
              <w:left w:w="70" w:type="dxa"/>
              <w:bottom w:w="60" w:type="dxa"/>
              <w:right w:w="70" w:type="dxa"/>
            </w:tcMar>
          </w:tcPr>
          <w:p>
            <w:pPr>
              <w:pStyle w:val="CadEETableStyle"/>
            </w:pPr>
            <w:r>
              <w:t>86</w:t>
            </w:r>
          </w:p>
        </w:tc>
      </w:tr>
    </w:tbl>
    <w:p>
      <w:pPr>
        <w:spacing w:before="0" w:after="0" w:line="80" w:lineRule="exact"/>
      </w:pPr>
    </w:p>
    <w:p>
      <w:pPr>
        <w:pStyle w:val="CadEENormalText"/>
        <w:numPr>
          <w:ilvl w:val="2"/>
          <w:numId w:val="1"/>
        </w:numPr>
      </w:pPr>
      <w:bookmarkStart w:id="47" w:name="CadEE_Target_47"/>
      <w:r>
        <w:t xml:space="preserve">Опір теплопередачі Rs огороджуючої конструкції визначено згідно з формулою (</w:t>
      </w:r>
      <w:r>
        <w:fldChar w:fldCharType="begin"/>
      </w:r>
      <w:r>
        <w:instrText xml:space="preserve"> REF CadEE_Target_11 \h </w:instrText>
      </w:r>
      <w:r>
        <w:fldChar w:fldCharType="separate"/>
      </w:r>
      <w:r>
        <w:t xml:space="preserve">2</w:t>
      </w:r>
      <w:r>
        <w:fldChar w:fldCharType="end"/>
      </w:r>
      <w:r>
        <w:t xml:space="preserve">). Коефіцієнти тепловіддачі визначено згідно з формулою (</w:t>
      </w:r>
      <w:r>
        <w:fldChar w:fldCharType="begin"/>
      </w:r>
      <w:r>
        <w:instrText xml:space="preserve"> REF CadEE_Target_9 \h </w:instrText>
      </w:r>
      <w:r>
        <w:fldChar w:fldCharType="separate"/>
      </w:r>
      <w:r>
        <w:t xml:space="preserve">1</w:t>
      </w:r>
      <w:r>
        <w:fldChar w:fldCharType="end"/>
      </w:r>
      <w:r>
        <w:t xml:space="preserve">)</w:t>
      </w:r>
      <w:bookmarkEnd w:id="47"/>
    </w:p>
    <w:p>
      <w:pPr>
        <w:pStyle w:val="CadEENormalText"/>
        <w:numPr>
          <w:ilvl w:val="2"/>
          <w:numId w:val="1"/>
        </w:numPr>
      </w:pPr>
      <w:bookmarkStart w:id="48" w:name="CadEE_Target_48"/>
      <w:r>
        <w:t xml:space="preserve">Визначимо опір теплопередачі в площинах на межі шарів: </w:t>
      </w:r>
      <w:bookmarkEnd w:id="48"/>
    </w:p>
    <w:p>
      <w:pPr>
        <w:pStyle w:val="CadEEEquationStyle"/>
      </w:pPr>
      <m:oMathPara>
        <m:oMath>
          <m:sSub>
            <m:e>
              <m:r>
                <m:rPr>
                  <m:sty m:val="i"/>
                </m:rPr>
                <m:t>x</m:t>
              </m:r>
            </m:e>
            <m:sub>
              <m:r>
                <m:t>1</m:t>
              </m:r>
            </m:sub>
          </m:sSub>
          <m:r>
            <m:t>=</m:t>
          </m:r>
          <m:r>
            <m:t>0.05</m:t>
          </m:r>
          <m:r>
            <m:t>м;</m:t>
          </m:r>
          <m:r>
            <m:t xml:space="preserve"> </m:t>
          </m:r>
          <m:sSub>
            <m:e>
              <m:r>
                <m:t>λ</m:t>
              </m:r>
            </m:e>
            <m:sub>
              <m:sSub>
                <m:e>
                  <m:r>
                    <m:t>р</m:t>
                  </m:r>
                </m:e>
                <m:sub>
                  <m:r>
                    <m:t>1</m:t>
                  </m:r>
                </m:sub>
              </m:sSub>
            </m:sub>
          </m:sSub>
          <m:r>
            <m:t>=</m:t>
          </m:r>
          <m:r>
            <m:t>0.05</m:t>
          </m:r>
          <m:f>
            <m:num>
              <m:r>
                <m:t>Вт</m:t>
              </m:r>
            </m:num>
            <m:den>
              <m:r>
                <m:t>м</m:t>
              </m:r>
              <m:r>
                <m:t>·</m:t>
              </m:r>
              <m:r>
                <m:rPr>
                  <m:sty m:val="i"/>
                </m:rPr>
                <m:t>K</m:t>
              </m:r>
            </m:den>
          </m:f>
        </m:oMath>
      </m:oMathPara>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r>
                      <m:t>1</m:t>
                    </m:r>
                  </m:sub>
                </m:sSub>
                <m:r>
                  <m:t>=</m:t>
                </m:r>
                <m:f>
                  <m:num>
                    <m:sSub>
                      <m:e>
                        <m:r>
                          <m:rPr>
                            <m:sty m:val="i"/>
                          </m:rPr>
                          <m:t>d</m:t>
                        </m:r>
                      </m:e>
                      <m:sub>
                        <m:r>
                          <m:t>1</m:t>
                        </m:r>
                      </m:sub>
                    </m:sSub>
                  </m:num>
                  <m:den>
                    <m:sSub>
                      <m:e>
                        <m:r>
                          <m:t>λ</m:t>
                        </m:r>
                      </m:e>
                      <m:sub>
                        <m:sSub>
                          <m:e>
                            <m:r>
                              <m:t>р</m:t>
                            </m:r>
                          </m:e>
                          <m:sub>
                            <m:r>
                              <m:t>1</m:t>
                            </m:r>
                          </m:sub>
                        </m:sSub>
                      </m:sub>
                    </m:sSub>
                  </m:den>
                </m:f>
                <m:r>
                  <m:t>=</m:t>
                </m:r>
                <m:f>
                  <m:num>
                    <m:r>
                      <m:t>0.05</m:t>
                    </m:r>
                  </m:num>
                  <m:den>
                    <m:r>
                      <m:t>0.055</m:t>
                    </m:r>
                  </m:den>
                </m:f>
                <m:r>
                  <m:t>=</m:t>
                </m:r>
                <m:r>
                  <m:t>0.909</m:t>
                </m:r>
                <m:r>
                  <m:t xml:space="preserve"> </m:t>
                </m:r>
                <m:f>
                  <m:num>
                    <m:sSup>
                      <m:e>
                        <m:r>
                          <m:t>м</m:t>
                        </m:r>
                      </m:e>
                      <m:sup>
                        <m:r>
                          <m:t>2</m:t>
                        </m:r>
                      </m:sup>
                    </m:sSup>
                    <m:r>
                      <m:t>·</m:t>
                    </m:r>
                    <m:r>
                      <m:rPr>
                        <m:sty m:val="i"/>
                      </m:rPr>
                      <m:t>K</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0" w:name="CadEE_Target_50"/>
            <w:r>
              <w:fldChar w:fldCharType="begin"/>
            </w:r>
            <w:r>
              <w:instrText xml:space="preserve"> SEQ CadEE_Formula \* ARABIC </w:instrText>
            </w:r>
            <w:r>
              <w:fldChar w:fldCharType="separate"/>
            </w:r>
            <w:r>
              <w:t xml:space="preserve">14</w:t>
            </w:r>
            <w:r>
              <w:fldChar w:fldCharType="end"/>
            </w:r>
            <w:bookmarkEnd w:id="50"/>
            <w:r>
              <w:t>)</w:t>
            </w:r>
          </w:p>
        </w:tc>
      </w:tr>
    </w:tbl>
    <w:p>
      <w:pPr>
        <w:pStyle w:val="CadEENormalText"/>
      </w:pPr>
      <w:r>
        <w:t xml:space="preserve">де </w:t>
      </w:r>
      <w:r>
        <w:rPr>
          <w:rFonts w:ascii="Cambria Math" w:hAnsi="Cambria Math" w:eastAsia="Cambria Math" w:cs="Cambria Math"/>
        </w:rPr>
        <w:t xml:space="preserve">d</w:t>
      </w:r>
      <w:r>
        <w:rPr>
          <w:rFonts w:ascii="Cambria Math" w:hAnsi="Cambria Math" w:eastAsia="Cambria Math" w:cs="Cambria Math"/>
          <w:vertAlign w:val="subscript"/>
        </w:rPr>
        <w:t xml:space="preserve">1</w:t>
      </w:r>
      <w:r>
        <w:t xml:space="preserve">, </w:t>
      </w:r>
      <w:r>
        <w:rPr>
          <w:rFonts w:ascii="Cambria Math" w:hAnsi="Cambria Math" w:eastAsia="Cambria Math" w:cs="Cambria Math"/>
        </w:rPr>
        <w:t xml:space="preserve">λ</w:t>
      </w:r>
      <w:r>
        <w:rPr>
          <w:rFonts w:ascii="Cambria Math" w:hAnsi="Cambria Math" w:eastAsia="Cambria Math" w:cs="Cambria Math"/>
          <w:vertAlign w:val="subscript"/>
        </w:rPr>
        <w:t xml:space="preserve">р1</w:t>
      </w:r>
      <w:r>
        <w:t xml:space="preserve"> - те саме, що у формулі (</w:t>
      </w:r>
      <w:r>
        <w:fldChar w:fldCharType="begin"/>
      </w:r>
      <w:r>
        <w:instrText xml:space="preserve"> REF CadEE_Target_11 \h </w:instrText>
      </w:r>
      <w:r>
        <w:fldChar w:fldCharType="separate"/>
      </w:r>
      <w:r>
        <w:t xml:space="preserve">2</w:t>
      </w:r>
      <w:r>
        <w:fldChar w:fldCharType="end"/>
      </w:r>
      <w:r>
        <w:t xml:space="preserve">).</w:t>
      </w:r>
    </w:p>
    <w:p>
      <w:pPr>
        <w:pStyle w:val="CadEEEquationStyle"/>
      </w:pPr>
      <m:oMathPara>
        <m:oMath>
          <m:sSub>
            <m:e>
              <m:r>
                <m:rPr>
                  <m:sty m:val="i"/>
                </m:rPr>
                <m:t>x</m:t>
              </m:r>
            </m:e>
            <m:sub>
              <m:r>
                <m:t>2</m:t>
              </m:r>
            </m:sub>
          </m:sSub>
          <m:r>
            <m:t>=</m:t>
          </m:r>
          <m:r>
            <m:t>0.1</m:t>
          </m:r>
          <m:r>
            <m:t>м;</m:t>
          </m:r>
          <m:r>
            <m:t xml:space="preserve"> </m:t>
          </m:r>
          <m:sSub>
            <m:e>
              <m:r>
                <m:t>λ</m:t>
              </m:r>
            </m:e>
            <m:sub>
              <m:sSub>
                <m:e>
                  <m:r>
                    <m:t>р</m:t>
                  </m:r>
                </m:e>
                <m:sub>
                  <m:r>
                    <m:t>2</m:t>
                  </m:r>
                </m:sub>
              </m:sSub>
            </m:sub>
          </m:sSub>
          <m:r>
            <m:t>=</m:t>
          </m:r>
          <m:r>
            <m:t>0.05</m:t>
          </m:r>
          <m:f>
            <m:num>
              <m:r>
                <m:t>Вт</m:t>
              </m:r>
            </m:num>
            <m:den>
              <m:r>
                <m:t>м</m:t>
              </m:r>
              <m:r>
                <m:t>·</m:t>
              </m:r>
              <m:r>
                <m:rPr>
                  <m:sty m:val="i"/>
                </m:rPr>
                <m:t>K</m:t>
              </m:r>
            </m:den>
          </m:f>
        </m:oMath>
      </m:oMathPara>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r>
                      <m:t>2</m:t>
                    </m:r>
                  </m:sub>
                </m:sSub>
                <m:r>
                  <m:t>=</m:t>
                </m:r>
                <m:f>
                  <m:num>
                    <m:sSub>
                      <m:e>
                        <m:r>
                          <m:rPr>
                            <m:sty m:val="i"/>
                          </m:rPr>
                          <m:t>d</m:t>
                        </m:r>
                      </m:e>
                      <m:sub>
                        <m:r>
                          <m:t>1</m:t>
                        </m:r>
                      </m:sub>
                    </m:sSub>
                  </m:num>
                  <m:den>
                    <m:sSub>
                      <m:e>
                        <m:r>
                          <m:t>λ</m:t>
                        </m:r>
                      </m:e>
                      <m:sub>
                        <m:sSub>
                          <m:e>
                            <m:r>
                              <m:t>р</m:t>
                            </m:r>
                          </m:e>
                          <m:sub>
                            <m:r>
                              <m:t>1</m:t>
                            </m:r>
                          </m:sub>
                        </m:sSub>
                      </m:sub>
                    </m:sSub>
                  </m:den>
                </m:f>
                <m:r>
                  <m:t>+</m:t>
                </m:r>
                <m:f>
                  <m:num>
                    <m:sSub>
                      <m:e>
                        <m:r>
                          <m:rPr>
                            <m:sty m:val="i"/>
                          </m:rPr>
                          <m:t>d</m:t>
                        </m:r>
                      </m:e>
                      <m:sub>
                        <m:r>
                          <m:t>2</m:t>
                        </m:r>
                      </m:sub>
                    </m:sSub>
                  </m:num>
                  <m:den>
                    <m:sSub>
                      <m:e>
                        <m:r>
                          <m:t>λ</m:t>
                        </m:r>
                      </m:e>
                      <m:sub>
                        <m:sSub>
                          <m:e>
                            <m:r>
                              <m:t>р</m:t>
                            </m:r>
                          </m:e>
                          <m:sub>
                            <m:r>
                              <m:t>2</m:t>
                            </m:r>
                          </m:sub>
                        </m:sSub>
                      </m:sub>
                    </m:sSub>
                  </m:den>
                </m:f>
                <m:r>
                  <m:t>=</m:t>
                </m:r>
                <m:f>
                  <m:num>
                    <m:r>
                      <m:t>0.05</m:t>
                    </m:r>
                  </m:num>
                  <m:den>
                    <m:r>
                      <m:t>0.055</m:t>
                    </m:r>
                  </m:den>
                </m:f>
                <m:r>
                  <m:t>+</m:t>
                </m:r>
                <m:f>
                  <m:num>
                    <m:r>
                      <m:t>0.05</m:t>
                    </m:r>
                  </m:num>
                  <m:den>
                    <m:r>
                      <m:t>0.055</m:t>
                    </m:r>
                  </m:den>
                </m:f>
                <m:r>
                  <m:t>=</m:t>
                </m:r>
                <m:r>
                  <m:t>1.818</m:t>
                </m:r>
                <m:r>
                  <m:t xml:space="preserve"> </m:t>
                </m:r>
                <m:f>
                  <m:num>
                    <m:sSup>
                      <m:e>
                        <m:r>
                          <m:t>м</m:t>
                        </m:r>
                      </m:e>
                      <m:sup>
                        <m:r>
                          <m:t>2</m:t>
                        </m:r>
                      </m:sup>
                    </m:sSup>
                    <m:r>
                      <m:t>·</m:t>
                    </m:r>
                    <m:r>
                      <m:rPr>
                        <m:sty m:val="i"/>
                      </m:rPr>
                      <m:t>K</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2" w:name="CadEE_Target_52"/>
            <w:r>
              <w:fldChar w:fldCharType="begin"/>
            </w:r>
            <w:r>
              <w:instrText xml:space="preserve"> SEQ CadEE_Formula \* ARABIC </w:instrText>
            </w:r>
            <w:r>
              <w:fldChar w:fldCharType="separate"/>
            </w:r>
            <w:r>
              <w:t xml:space="preserve">15</w:t>
            </w:r>
            <w:r>
              <w:fldChar w:fldCharType="end"/>
            </w:r>
            <w:bookmarkEnd w:id="52"/>
            <w:r>
              <w:t>)</w:t>
            </w:r>
          </w:p>
        </w:tc>
      </w:tr>
    </w:tbl>
    <w:p>
      <w:pPr>
        <w:pStyle w:val="CadEENormalText"/>
      </w:pPr>
      <w:r>
        <w:t xml:space="preserve">де </w:t>
      </w:r>
      <w:r>
        <w:rPr>
          <w:rFonts w:ascii="Cambria Math" w:hAnsi="Cambria Math" w:eastAsia="Cambria Math" w:cs="Cambria Math"/>
        </w:rPr>
        <w:t xml:space="preserve">d</w:t>
      </w:r>
      <w:r>
        <w:rPr>
          <w:rFonts w:ascii="Cambria Math" w:hAnsi="Cambria Math" w:eastAsia="Cambria Math" w:cs="Cambria Math"/>
          <w:vertAlign w:val="subscript"/>
        </w:rPr>
        <w:t xml:space="preserve">1</w:t>
      </w:r>
      <w:r>
        <w:t xml:space="preserve">..</w:t>
      </w:r>
      <w:r>
        <w:rPr>
          <w:rFonts w:ascii="Cambria Math" w:hAnsi="Cambria Math" w:eastAsia="Cambria Math" w:cs="Cambria Math"/>
        </w:rPr>
        <w:t xml:space="preserve">d</w:t>
      </w:r>
      <w:r>
        <w:rPr>
          <w:rFonts w:ascii="Cambria Math" w:hAnsi="Cambria Math" w:eastAsia="Cambria Math" w:cs="Cambria Math"/>
          <w:vertAlign w:val="subscript"/>
        </w:rPr>
        <w:t xml:space="preserve">2</w:t>
      </w:r>
      <w:r>
        <w:t xml:space="preserve">, </w:t>
      </w:r>
      <w:r>
        <w:rPr>
          <w:rFonts w:ascii="Cambria Math" w:hAnsi="Cambria Math" w:eastAsia="Cambria Math" w:cs="Cambria Math"/>
        </w:rPr>
        <w:t xml:space="preserve">λ</w:t>
      </w:r>
      <w:r>
        <w:rPr>
          <w:rFonts w:ascii="Cambria Math" w:hAnsi="Cambria Math" w:eastAsia="Cambria Math" w:cs="Cambria Math"/>
          <w:vertAlign w:val="subscript"/>
        </w:rPr>
        <w:t xml:space="preserve">р1</w:t>
      </w:r>
      <w:r>
        <w:t xml:space="preserve">..</w:t>
      </w:r>
      <w:r>
        <w:rPr>
          <w:rFonts w:ascii="Cambria Math" w:hAnsi="Cambria Math" w:eastAsia="Cambria Math" w:cs="Cambria Math"/>
        </w:rPr>
        <w:t xml:space="preserve">λ</w:t>
      </w:r>
      <w:r>
        <w:rPr>
          <w:rFonts w:ascii="Cambria Math" w:hAnsi="Cambria Math" w:eastAsia="Cambria Math" w:cs="Cambria Math"/>
          <w:vertAlign w:val="subscript"/>
        </w:rPr>
        <w:t xml:space="preserve">р2</w:t>
      </w:r>
      <w:r>
        <w:t xml:space="preserve"> - те саме, що у формулі (</w:t>
      </w:r>
      <w:r>
        <w:fldChar w:fldCharType="begin"/>
      </w:r>
      <w:r>
        <w:instrText xml:space="preserve"> REF CadEE_Target_11 \h </w:instrText>
      </w:r>
      <w:r>
        <w:fldChar w:fldCharType="separate"/>
      </w:r>
      <w:r>
        <w:t xml:space="preserve">2</w:t>
      </w:r>
      <w:r>
        <w:fldChar w:fldCharType="end"/>
      </w:r>
      <w:r>
        <w:t xml:space="preserve">).</w:t>
      </w:r>
    </w:p>
    <w:p>
      <w:pPr>
        <w:pStyle w:val="CadEENormalText"/>
        <w:numPr>
          <w:ilvl w:val="2"/>
          <w:numId w:val="1"/>
        </w:numPr>
      </w:pPr>
      <w:bookmarkStart w:id="53" w:name="CadEE_Target_53"/>
      <w:r>
        <w:t xml:space="preserve">Визначимо опори паропроникненню кожного шару і конструкції в цілому згідно з формулами (3), (4) ДСТУ Б В.2.6-192:2013. Коефіцієнт паропроникності беремо згідно з табл. А.1 ДСТУ 9191:2022</w:t>
      </w:r>
      <w:bookmarkEnd w:id="53"/>
    </w:p>
    <w:p>
      <w:pPr>
        <w:pStyle w:val="CadEEEquationStyle"/>
      </w:pPr>
      <m:oMathPara>
        <m:oMath>
          <m:r>
            <m:t>При </m:t>
          </m:r>
          <m:sSub>
            <m:e>
              <m:r>
                <m:rPr>
                  <m:sty m:val="i"/>
                </m:rPr>
                <m:t>x</m:t>
              </m:r>
            </m:e>
            <m:sub>
              <m:r>
                <m:t>1</m:t>
              </m:r>
            </m:sub>
          </m:sSub>
          <m:r>
            <m:t>=</m:t>
          </m:r>
          <m:r>
            <m:t>0.05</m:t>
          </m:r>
          <m:r>
            <m:t> м</m:t>
          </m:r>
        </m:oMath>
      </m:oMathPara>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sSub>
                      <m:e>
                        <m:r>
                          <m:rPr>
                            <m:sty m:val="i"/>
                          </m:rPr>
                          <m:t>e</m:t>
                        </m:r>
                      </m:e>
                      <m:sub>
                        <m:r>
                          <m:t>1</m:t>
                        </m:r>
                      </m:sub>
                    </m:sSub>
                  </m:sub>
                </m:sSub>
                <m:r>
                  <m:t>=</m:t>
                </m:r>
                <m:f>
                  <m:num>
                    <m:sSub>
                      <m:e>
                        <m:r>
                          <m:rPr>
                            <m:sty m:val="i"/>
                          </m:rPr>
                          <m:t>d</m:t>
                        </m:r>
                      </m:e>
                      <m:sub>
                        <m:r>
                          <m:t>1</m:t>
                        </m:r>
                      </m:sub>
                    </m:sSub>
                  </m:num>
                  <m:den>
                    <m:sSub>
                      <m:e>
                        <m:r>
                          <m:t>δ</m:t>
                        </m:r>
                      </m:e>
                      <m:sub>
                        <m:r>
                          <m:t>1</m:t>
                        </m:r>
                      </m:sub>
                    </m:sSub>
                  </m:den>
                </m:f>
                <m:r>
                  <m:t>=</m:t>
                </m:r>
                <m:f>
                  <m:num>
                    <m:r>
                      <m:t>0.05</m:t>
                    </m:r>
                  </m:num>
                  <m:den>
                    <m:r>
                      <m:t>0.05</m:t>
                    </m:r>
                  </m:den>
                </m:f>
                <m:r>
                  <m:t>=</m:t>
                </m:r>
                <m:r>
                  <m:t>1</m:t>
                </m:r>
                <m:r>
                  <m:t xml:space="preserve"> </m:t>
                </m:r>
                <m:f>
                  <m:num>
                    <m:sSup>
                      <m:e>
                        <m:r>
                          <m:t>м</m:t>
                        </m:r>
                      </m:e>
                      <m:sup>
                        <m:r>
                          <m:t>2</m:t>
                        </m:r>
                      </m:sup>
                    </m:sSup>
                    <m:r>
                      <m:t>·</m:t>
                    </m:r>
                    <m:r>
                      <m:t>год</m:t>
                    </m:r>
                    <m:r>
                      <m:t>·</m:t>
                    </m:r>
                    <m:r>
                      <m:t>Па</m:t>
                    </m:r>
                  </m:num>
                  <m:den>
                    <m:r>
                      <m:t>мг</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5" w:name="CadEE_Target_55"/>
            <w:r>
              <w:fldChar w:fldCharType="begin"/>
            </w:r>
            <w:r>
              <w:instrText xml:space="preserve"> SEQ CadEE_Formula \* ARABIC </w:instrText>
            </w:r>
            <w:r>
              <w:fldChar w:fldCharType="separate"/>
            </w:r>
            <w:r>
              <w:t xml:space="preserve">16</w:t>
            </w:r>
            <w:r>
              <w:fldChar w:fldCharType="end"/>
            </w:r>
            <w:bookmarkEnd w:id="55"/>
            <w:r>
              <w:t>)</w:t>
            </w:r>
          </w:p>
        </w:tc>
      </w:tr>
    </w:tbl>
    <w:p>
      <w:pPr>
        <w:pStyle w:val="CadEENormalText"/>
      </w:pPr>
      <w:r>
        <w:t xml:space="preserve">де </w:t>
      </w:r>
      <w:r>
        <w:rPr>
          <w:rFonts w:ascii="Cambria Math" w:hAnsi="Cambria Math" w:eastAsia="Cambria Math" w:cs="Cambria Math"/>
        </w:rPr>
        <w:t xml:space="preserve">d</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CadEE_Target_11 \h </w:instrText>
      </w:r>
      <w:r>
        <w:fldChar w:fldCharType="separate"/>
      </w:r>
      <w:r>
        <w:t xml:space="preserve">2</w:t>
      </w:r>
      <w:r>
        <w:fldChar w:fldCharType="end"/>
      </w:r>
      <w:r>
        <w:t xml:space="preserve">); </w:t>
      </w:r>
      <w:r>
        <w:rPr>
          <w:rFonts w:ascii="Cambria Math" w:hAnsi="Cambria Math" w:eastAsia="Cambria Math" w:cs="Cambria Math"/>
        </w:rPr>
        <w:t xml:space="preserve">δ</w:t>
      </w:r>
      <w:r>
        <w:rPr>
          <w:rFonts w:ascii="Cambria Math" w:hAnsi="Cambria Math" w:eastAsia="Cambria Math" w:cs="Cambria Math"/>
          <w:vertAlign w:val="subscript"/>
        </w:rPr>
        <w:t xml:space="preserve">1</w:t>
      </w:r>
      <w:r>
        <w:t xml:space="preserve"> - товщина шару огороджувальної конструкції, див. п. </w:t>
      </w:r>
      <w:r>
        <w:fldChar w:fldCharType="begin"/>
      </w:r>
      <w:r>
        <w:instrText xml:space="preserve"> REF CadEE_Target_1 \n \h </w:instrText>
      </w:r>
      <w:r>
        <w:fldChar w:fldCharType="separate"/>
      </w:r>
      <w:r>
        <w:t xml:space="preserve">1</w:t>
      </w:r>
      <w:r>
        <w:fldChar w:fldCharType="end"/>
      </w:r>
      <w:r>
        <w:t xml:space="preserve">.</w:t>
      </w:r>
    </w:p>
    <w:p>
      <w:pPr>
        <w:pStyle w:val="CadEEEquationStyle"/>
      </w:pPr>
      <m:oMathPara>
        <m:oMath>
          <m:r>
            <m:t>При </m:t>
          </m:r>
          <m:sSub>
            <m:e>
              <m:r>
                <m:rPr>
                  <m:sty m:val="i"/>
                </m:rPr>
                <m:t>x</m:t>
              </m:r>
            </m:e>
            <m:sub>
              <m:r>
                <m:t>2</m:t>
              </m:r>
            </m:sub>
          </m:sSub>
          <m:r>
            <m:t>=</m:t>
          </m:r>
          <m:r>
            <m:t>0.1</m:t>
          </m:r>
          <m:r>
            <m:t> м</m:t>
          </m:r>
        </m:oMath>
      </m:oMathPara>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sSub>
                      <m:e>
                        <m:r>
                          <m:rPr>
                            <m:sty m:val="i"/>
                          </m:rPr>
                          <m:t>e</m:t>
                        </m:r>
                      </m:e>
                      <m:sub>
                        <m:r>
                          <m:t>2</m:t>
                        </m:r>
                      </m:sub>
                    </m:sSub>
                  </m:sub>
                </m:sSub>
                <m:r>
                  <m:t>=</m:t>
                </m:r>
                <m:f>
                  <m:num>
                    <m:sSub>
                      <m:e>
                        <m:r>
                          <m:rPr>
                            <m:sty m:val="i"/>
                          </m:rPr>
                          <m:t>d</m:t>
                        </m:r>
                      </m:e>
                      <m:sub>
                        <m:r>
                          <m:t>1</m:t>
                        </m:r>
                      </m:sub>
                    </m:sSub>
                  </m:num>
                  <m:den>
                    <m:sSub>
                      <m:e>
                        <m:r>
                          <m:t>δ</m:t>
                        </m:r>
                      </m:e>
                      <m:sub>
                        <m:r>
                          <m:t>1</m:t>
                        </m:r>
                      </m:sub>
                    </m:sSub>
                  </m:den>
                </m:f>
                <m:r>
                  <m:t>+</m:t>
                </m:r>
                <m:f>
                  <m:num>
                    <m:sSub>
                      <m:e>
                        <m:r>
                          <m:rPr>
                            <m:sty m:val="i"/>
                          </m:rPr>
                          <m:t>d</m:t>
                        </m:r>
                      </m:e>
                      <m:sub>
                        <m:r>
                          <m:t>2</m:t>
                        </m:r>
                      </m:sub>
                    </m:sSub>
                  </m:num>
                  <m:den>
                    <m:sSub>
                      <m:e>
                        <m:r>
                          <m:t>δ</m:t>
                        </m:r>
                      </m:e>
                      <m:sub>
                        <m:r>
                          <m:t>2</m:t>
                        </m:r>
                      </m:sub>
                    </m:sSub>
                  </m:den>
                </m:f>
                <m:r>
                  <m:t>=</m:t>
                </m:r>
                <m:f>
                  <m:num>
                    <m:r>
                      <m:t>0.05</m:t>
                    </m:r>
                  </m:num>
                  <m:den>
                    <m:r>
                      <m:t>0.05</m:t>
                    </m:r>
                  </m:den>
                </m:f>
                <m:r>
                  <m:t>+</m:t>
                </m:r>
                <m:f>
                  <m:num>
                    <m:r>
                      <m:t>0.05</m:t>
                    </m:r>
                  </m:num>
                  <m:den>
                    <m:r>
                      <m:t>0.05</m:t>
                    </m:r>
                  </m:den>
                </m:f>
                <m:r>
                  <m:t>=</m:t>
                </m:r>
                <m:r>
                  <m:t>2</m:t>
                </m:r>
                <m:r>
                  <m:t xml:space="preserve"> </m:t>
                </m:r>
                <m:f>
                  <m:num>
                    <m:sSup>
                      <m:e>
                        <m:r>
                          <m:t>м</m:t>
                        </m:r>
                      </m:e>
                      <m:sup>
                        <m:r>
                          <m:t>2</m:t>
                        </m:r>
                      </m:sup>
                    </m:sSup>
                    <m:r>
                      <m:t>·</m:t>
                    </m:r>
                    <m:r>
                      <m:t>год</m:t>
                    </m:r>
                    <m:r>
                      <m:t>·</m:t>
                    </m:r>
                    <m:r>
                      <m:t>Па</m:t>
                    </m:r>
                  </m:num>
                  <m:den>
                    <m:r>
                      <m:t>мг</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7" w:name="CadEE_Target_57"/>
            <w:r>
              <w:fldChar w:fldCharType="begin"/>
            </w:r>
            <w:r>
              <w:instrText xml:space="preserve"> SEQ CadEE_Formula \* ARABIC </w:instrText>
            </w:r>
            <w:r>
              <w:fldChar w:fldCharType="separate"/>
            </w:r>
            <w:r>
              <w:t xml:space="preserve">17</w:t>
            </w:r>
            <w:r>
              <w:fldChar w:fldCharType="end"/>
            </w:r>
            <w:bookmarkEnd w:id="57"/>
            <w:r>
              <w:t>)</w:t>
            </w:r>
          </w:p>
        </w:tc>
      </w:tr>
    </w:tbl>
    <w:p>
      <w:pPr>
        <w:pStyle w:val="CadEENormalText"/>
      </w:pPr>
      <w:r>
        <w:t xml:space="preserve">де </w:t>
      </w:r>
      <w:r>
        <w:rPr>
          <w:rFonts w:ascii="Cambria Math" w:hAnsi="Cambria Math" w:eastAsia="Cambria Math" w:cs="Cambria Math"/>
        </w:rPr>
        <w:t xml:space="preserve">d</w:t>
      </w:r>
      <w:r>
        <w:rPr>
          <w:rFonts w:ascii="Cambria Math" w:hAnsi="Cambria Math" w:eastAsia="Cambria Math" w:cs="Cambria Math"/>
          <w:vertAlign w:val="subscript"/>
        </w:rPr>
        <w:t xml:space="preserve">1</w:t>
      </w:r>
      <w:r>
        <w:t xml:space="preserve">..</w:t>
      </w:r>
      <w:r>
        <w:rPr>
          <w:rFonts w:ascii="Cambria Math" w:hAnsi="Cambria Math" w:eastAsia="Cambria Math" w:cs="Cambria Math"/>
        </w:rPr>
        <w:t xml:space="preserve">d</w:t>
      </w:r>
      <w:r>
        <w:rPr>
          <w:rFonts w:ascii="Cambria Math" w:hAnsi="Cambria Math" w:eastAsia="Cambria Math" w:cs="Cambria Math"/>
          <w:vertAlign w:val="subscript"/>
        </w:rPr>
        <w:t xml:space="preserve">2</w:t>
      </w:r>
      <w:r>
        <w:t xml:space="preserve"> - те саме, що у формулі (</w:t>
      </w:r>
      <w:r>
        <w:fldChar w:fldCharType="begin"/>
      </w:r>
      <w:r>
        <w:instrText xml:space="preserve"> REF CadEE_Target_11 \h </w:instrText>
      </w:r>
      <w:r>
        <w:fldChar w:fldCharType="separate"/>
      </w:r>
      <w:r>
        <w:t xml:space="preserve">2</w:t>
      </w:r>
      <w:r>
        <w:fldChar w:fldCharType="end"/>
      </w:r>
      <w:r>
        <w:t xml:space="preserve">); </w:t>
      </w:r>
      <w:r>
        <w:rPr>
          <w:rFonts w:ascii="Cambria Math" w:hAnsi="Cambria Math" w:eastAsia="Cambria Math" w:cs="Cambria Math"/>
        </w:rPr>
        <w:t xml:space="preserve">δ</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CadEE_Target_55 \h </w:instrText>
      </w:r>
      <w:r>
        <w:fldChar w:fldCharType="separate"/>
      </w:r>
      <w:r>
        <w:t xml:space="preserve">16</w:t>
      </w:r>
      <w:r>
        <w:fldChar w:fldCharType="end"/>
      </w:r>
      <w:r>
        <w:t xml:space="preserve">); </w:t>
      </w:r>
      <w:r>
        <w:rPr>
          <w:rFonts w:ascii="Cambria Math" w:hAnsi="Cambria Math" w:eastAsia="Cambria Math" w:cs="Cambria Math"/>
        </w:rPr>
        <w:t xml:space="preserve">δ</w:t>
      </w:r>
      <w:r>
        <w:rPr>
          <w:rFonts w:ascii="Cambria Math" w:hAnsi="Cambria Math" w:eastAsia="Cambria Math" w:cs="Cambria Math"/>
          <w:vertAlign w:val="subscript"/>
        </w:rPr>
        <w:t xml:space="preserve">2</w:t>
      </w:r>
      <w:r>
        <w:t xml:space="preserve"> - товщина шару огороджувальної конструкції, див. п. </w:t>
      </w:r>
      <w:r>
        <w:fldChar w:fldCharType="begin"/>
      </w:r>
      <w:r>
        <w:instrText xml:space="preserve"> REF CadEE_Target_1 \n \h </w:instrText>
      </w:r>
      <w:r>
        <w:fldChar w:fldCharType="separate"/>
      </w:r>
      <w:r>
        <w:t xml:space="preserve">1</w:t>
      </w:r>
      <w:r>
        <w:fldChar w:fldCharType="end"/>
      </w:r>
      <w:r>
        <w:t xml:space="preserve">.</w:t>
      </w:r>
    </w:p>
    <w:p>
      <w:pPr>
        <w:pStyle w:val="CadEETableCaption"/>
      </w:pPr>
      <w:r>
        <w:t xml:space="preserve">Таблиця №</w:t>
      </w:r>
      <w:bookmarkStart w:id="58" w:name="CadEE_Target_58"/>
      <w:r>
        <w:fldChar w:fldCharType="begin"/>
      </w:r>
      <w:r>
        <w:instrText xml:space="preserve"> SEQ CadEE_Table \* ARABIC </w:instrText>
      </w:r>
      <w:r>
        <w:fldChar w:fldCharType="separate"/>
      </w:r>
      <w:r>
        <w:t xml:space="preserve">1.4</w:t>
      </w:r>
      <w:r>
        <w:fldChar w:fldCharType="end"/>
      </w:r>
      <w:bookmarkEnd w:id="58"/>
      <w:r>
        <w:t xml:space="preserve">. Характеристики матеріалів шарів конструкції</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516"/>
        <w:gridCol w:w="3617"/>
        <w:gridCol w:w="1033"/>
        <w:gridCol w:w="1033"/>
        <w:gridCol w:w="1033"/>
        <w:gridCol w:w="1550"/>
        <w:gridCol w:w="1550"/>
      </w:tblGrid>
      <w:tr>
        <w:trPr>
          <w:tblHeader/>
        </w:trPr>
        <w:tc>
          <w:tcPr>
            <w:tcW w:w="516" w:type="dxa"/>
            <w:vAlign w:val="center"/>
            <w:tcMar>
              <w:top w:w="60" w:type="dxa"/>
              <w:left w:w="70" w:type="dxa"/>
              <w:bottom w:w="60" w:type="dxa"/>
              <w:right w:w="70" w:type="dxa"/>
            </w:tcMar>
            <w:tcBorders>
              <w:bottom w:val="nil"/>
            </w:tcBorders>
            <w:shd w:val="clear" w:color="auto" w:fill="EDEDED"/>
          </w:tcPr>
          <w:p>
            <w:pPr>
              <w:pStyle w:val="CadEETableHeadStyle"/>
            </w:pPr>
            <w:r>
              <w:rPr>
                <w:b/>
              </w:rPr>
              <w:t>№</w:t>
            </w:r>
          </w:p>
        </w:tc>
        <w:tc>
          <w:tcPr>
            <w:tcW w:w="3617" w:type="dxa"/>
            <w:vAlign w:val="center"/>
            <w:tcMar>
              <w:top w:w="60" w:type="dxa"/>
              <w:left w:w="70" w:type="dxa"/>
              <w:bottom w:w="60" w:type="dxa"/>
              <w:right w:w="70" w:type="dxa"/>
            </w:tcMar>
            <w:tcBorders>
              <w:bottom w:val="nil"/>
            </w:tcBorders>
            <w:shd w:val="clear" w:color="auto" w:fill="EDEDED"/>
          </w:tcPr>
          <w:p>
            <w:pPr>
              <w:pStyle w:val="CadEETableHeadStyle"/>
            </w:pPr>
            <w:r>
              <w:rPr>
                <w:b/>
              </w:rPr>
              <w:t>Назва шару</w:t>
            </w:r>
          </w:p>
        </w:tc>
        <w:tc>
          <w:tcPr>
            <w:tcW w:w="1033" w:type="dxa"/>
            <w:vAlign w:val="center"/>
            <w:tcMar>
              <w:top w:w="60" w:type="dxa"/>
              <w:left w:w="70" w:type="dxa"/>
              <w:bottom w:w="60" w:type="dxa"/>
              <w:right w:w="70" w:type="dxa"/>
            </w:tcMar>
            <w:tcBorders>
              <w:bottom w:val="nil"/>
            </w:tcBorders>
            <w:shd w:val="clear" w:color="auto" w:fill="EDEDED"/>
          </w:tcPr>
          <w:p>
            <w:pPr>
              <w:pStyle w:val="CadEETableHeadStyle"/>
            </w:pPr>
            <w:r>
              <w:rPr>
                <w:b/>
              </w:rPr>
              <w:t>Товщина,</w:t>
            </w:r>
          </w:p>
        </w:tc>
        <w:tc>
          <w:tcPr>
            <w:tcW w:w="1033" w:type="dxa"/>
            <w:vAlign w:val="center"/>
            <w:tcMar>
              <w:top w:w="60" w:type="dxa"/>
              <w:left w:w="70" w:type="dxa"/>
              <w:bottom w:w="60" w:type="dxa"/>
              <w:right w:w="70" w:type="dxa"/>
            </w:tcMar>
            <w:tcBorders>
              <w:bottom w:val="nil"/>
            </w:tcBorders>
            <w:shd w:val="clear" w:color="auto" w:fill="EDEDED"/>
          </w:tcPr>
          <w:p>
            <w:pPr>
              <w:pStyle w:val="CadEETableHeadStyle"/>
            </w:pPr>
            <w:r>
              <w:rPr>
                <w:b/>
              </w:rPr>
              <w:t>Теплопровідність λ,</w:t>
            </w:r>
          </w:p>
        </w:tc>
        <w:tc>
          <w:tcPr>
            <w:tcW w:w="1033" w:type="dxa"/>
            <w:vAlign w:val="center"/>
            <w:tcMar>
              <w:top w:w="60" w:type="dxa"/>
              <w:left w:w="70" w:type="dxa"/>
              <w:bottom w:w="60" w:type="dxa"/>
              <w:right w:w="70" w:type="dxa"/>
            </w:tcMar>
            <w:tcBorders>
              <w:bottom w:val="nil"/>
            </w:tcBorders>
            <w:shd w:val="clear" w:color="auto" w:fill="EDEDED"/>
          </w:tcPr>
          <w:p>
            <w:pPr>
              <w:pStyle w:val="CadEETableHeadStyle"/>
            </w:pPr>
            <w:r>
              <w:rPr>
                <w:b/>
              </w:rPr>
              <w:t>Тепловий опір R</w:t>
            </w:r>
          </w:p>
        </w:tc>
        <w:tc>
          <w:tcPr>
            <w:tcW w:w="1550" w:type="dxa"/>
            <w:vAlign w:val="center"/>
            <w:tcMar>
              <w:top w:w="60" w:type="dxa"/>
              <w:left w:w="70" w:type="dxa"/>
              <w:bottom w:w="60" w:type="dxa"/>
              <w:right w:w="70" w:type="dxa"/>
            </w:tcMar>
            <w:tcBorders>
              <w:bottom w:val="nil"/>
            </w:tcBorders>
            <w:shd w:val="clear" w:color="auto" w:fill="EDEDED"/>
          </w:tcPr>
          <w:p>
            <w:pPr>
              <w:pStyle w:val="CadEETableHeadStyle"/>
            </w:pPr>
            <w:r>
              <w:rPr>
                <w:b/>
              </w:rPr>
              <w:t>Коеф. паропроникності δ</w:t>
            </w:r>
          </w:p>
        </w:tc>
        <w:tc>
          <w:tcPr>
            <w:tcW w:w="1550" w:type="dxa"/>
            <w:vAlign w:val="center"/>
            <w:tcMar>
              <w:top w:w="60" w:type="dxa"/>
              <w:left w:w="70" w:type="dxa"/>
              <w:bottom w:w="60" w:type="dxa"/>
              <w:right w:w="70" w:type="dxa"/>
            </w:tcMar>
            <w:tcBorders>
              <w:bottom w:val="nil"/>
            </w:tcBorders>
            <w:shd w:val="clear" w:color="auto" w:fill="EDEDED"/>
          </w:tcPr>
          <w:p>
            <w:pPr>
              <w:pStyle w:val="CadEETableHeadStyle"/>
            </w:pPr>
            <w:r>
              <w:rPr>
                <w:b/>
              </w:rPr>
              <w:t>Опір паропроникненню Re</w:t>
            </w:r>
          </w:p>
        </w:tc>
      </w:tr>
      <w:tr>
        <w:trPr>
          <w:tblHeader/>
        </w:trPr>
        <w:tc>
          <w:tcPr>
            <w:tcW w:w="516"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3617"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1033" w:type="dxa"/>
            <w:vAlign w:val="center"/>
            <w:tcMar>
              <w:top w:w="60" w:type="dxa"/>
              <w:left w:w="70" w:type="dxa"/>
              <w:bottom w:w="60" w:type="dxa"/>
              <w:right w:w="70" w:type="dxa"/>
            </w:tcMar>
            <w:tcBorders>
              <w:top w:val="nil"/>
            </w:tcBorders>
            <w:shd w:val="clear" w:color="auto" w:fill="EDEDED"/>
          </w:tcPr>
          <w:p>
            <w:pPr>
              <w:pStyle w:val="CadEETableHeadStyle"/>
            </w:pPr>
            <w:r>
              <w:rPr>
                <w:b/>
              </w:rPr>
              <w:t>(м)</w:t>
            </w:r>
          </w:p>
        </w:tc>
        <w:tc>
          <w:tcPr>
            <w:tcW w:w="1033" w:type="dxa"/>
            <w:vAlign w:val="center"/>
            <w:tcMar>
              <w:top w:w="60" w:type="dxa"/>
              <w:left w:w="70" w:type="dxa"/>
              <w:bottom w:w="60" w:type="dxa"/>
              <w:right w:w="70" w:type="dxa"/>
            </w:tcMar>
            <w:tcBorders>
              <w:top w:val="nil"/>
            </w:tcBorders>
            <w:shd w:val="clear" w:color="auto" w:fill="EDEDED"/>
          </w:tcPr>
          <w:p>
            <w:pPr>
              <w:pStyle w:val="CadEETableHeadStyle"/>
            </w:pPr>
            <w:r>
              <w:rPr>
                <w:b/>
              </w:rPr>
              <w:t>Вт/(м*K)</w:t>
            </w:r>
          </w:p>
        </w:tc>
        <w:tc>
          <w:tcPr>
            <w:tcW w:w="1033" w:type="dxa"/>
            <w:vAlign w:val="center"/>
            <w:tcMar>
              <w:top w:w="60" w:type="dxa"/>
              <w:left w:w="70" w:type="dxa"/>
              <w:bottom w:w="60" w:type="dxa"/>
              <w:right w:w="70" w:type="dxa"/>
            </w:tcMar>
            <w:tcBorders>
              <w:top w:val="nil"/>
            </w:tcBorders>
            <w:shd w:val="clear" w:color="auto" w:fill="EDEDED"/>
          </w:tcPr>
          <w:p>
            <w:pPr>
              <w:pStyle w:val="CadEETableHeadStyle"/>
            </w:pPr>
            <w:r>
              <w:rPr>
                <w:b/>
              </w:rPr>
              <w:t>(м²K)/Вт</w:t>
            </w:r>
          </w:p>
        </w:tc>
        <w:tc>
          <w:tcPr>
            <w:tcW w:w="1550" w:type="dxa"/>
            <w:vAlign w:val="center"/>
            <w:tcMar>
              <w:top w:w="60" w:type="dxa"/>
              <w:left w:w="70" w:type="dxa"/>
              <w:bottom w:w="60" w:type="dxa"/>
              <w:right w:w="70" w:type="dxa"/>
            </w:tcMar>
            <w:tcBorders>
              <w:top w:val="nil"/>
            </w:tcBorders>
            <w:shd w:val="clear" w:color="auto" w:fill="EDEDED"/>
          </w:tcPr>
          <w:p>
            <w:pPr>
              <w:pStyle w:val="CadEETableHeadStyle"/>
            </w:pPr>
            <w:r>
              <w:rPr>
                <w:b/>
              </w:rPr>
              <w:t>мг/(м*год*Па)</w:t>
            </w:r>
          </w:p>
        </w:tc>
        <w:tc>
          <w:tcPr>
            <w:tcW w:w="1550" w:type="dxa"/>
            <w:vAlign w:val="center"/>
            <w:tcMar>
              <w:top w:w="60" w:type="dxa"/>
              <w:left w:w="70" w:type="dxa"/>
              <w:bottom w:w="60" w:type="dxa"/>
              <w:right w:w="70" w:type="dxa"/>
            </w:tcMar>
            <w:tcBorders>
              <w:top w:val="nil"/>
            </w:tcBorders>
            <w:shd w:val="clear" w:color="auto" w:fill="EDEDED"/>
          </w:tcPr>
          <w:p>
            <w:pPr>
              <w:pStyle w:val="CadEETableHeadStyle"/>
            </w:pPr>
            <w:r>
              <w:rPr>
                <w:b/>
              </w:rPr>
              <w:t>м2*год*Па/мг</w:t>
            </w:r>
          </w:p>
        </w:tc>
      </w:tr>
      <w:tr>
        <w:tc>
          <w:tcPr>
            <w:tcW w:w="516" w:type="dxa"/>
            <w:vAlign w:val="center"/>
            <w:tcMar>
              <w:top w:w="60" w:type="dxa"/>
              <w:left w:w="70" w:type="dxa"/>
              <w:bottom w:w="60" w:type="dxa"/>
              <w:right w:w="70" w:type="dxa"/>
            </w:tcMar>
          </w:tcPr>
          <w:p>
            <w:pPr>
              <w:pStyle w:val="CadEETableStyle"/>
            </w:pPr>
            <w:r>
              <w:t>1</w:t>
            </w:r>
          </w:p>
        </w:tc>
        <w:tc>
          <w:tcPr>
            <w:tcW w:w="3617" w:type="dxa"/>
            <w:vAlign w:val="center"/>
            <w:tcMar>
              <w:top w:w="60" w:type="dxa"/>
              <w:left w:w="70" w:type="dxa"/>
              <w:bottom w:w="60" w:type="dxa"/>
              <w:right w:w="70" w:type="dxa"/>
            </w:tcMar>
          </w:tcPr>
          <w:p>
            <w:pPr>
              <w:pStyle w:val="CadEETableStyle"/>
            </w:pPr>
            <w:r>
              <w:t>Спінений пінополістирол ρ=15 кг/м3</w:t>
            </w:r>
          </w:p>
        </w:tc>
        <w:tc>
          <w:tcPr>
            <w:tcW w:w="1033" w:type="dxa"/>
            <w:vAlign w:val="center"/>
            <w:tcMar>
              <w:top w:w="60" w:type="dxa"/>
              <w:left w:w="70" w:type="dxa"/>
              <w:bottom w:w="60" w:type="dxa"/>
              <w:right w:w="70" w:type="dxa"/>
            </w:tcMar>
          </w:tcPr>
          <w:p>
            <w:pPr>
              <w:pStyle w:val="CadEETableStyle"/>
            </w:pPr>
            <w:r>
              <w:t>0.05</w:t>
            </w:r>
          </w:p>
        </w:tc>
        <w:tc>
          <w:tcPr>
            <w:tcW w:w="1033" w:type="dxa"/>
            <w:vAlign w:val="center"/>
            <w:tcMar>
              <w:top w:w="60" w:type="dxa"/>
              <w:left w:w="70" w:type="dxa"/>
              <w:bottom w:w="60" w:type="dxa"/>
              <w:right w:w="70" w:type="dxa"/>
            </w:tcMar>
          </w:tcPr>
          <w:p>
            <w:pPr>
              <w:pStyle w:val="CadEETableStyle"/>
            </w:pPr>
            <w:r>
              <w:t>0.055</w:t>
            </w:r>
          </w:p>
        </w:tc>
        <w:tc>
          <w:tcPr>
            <w:tcW w:w="1033" w:type="dxa"/>
            <w:vAlign w:val="center"/>
            <w:tcMar>
              <w:top w:w="60" w:type="dxa"/>
              <w:left w:w="70" w:type="dxa"/>
              <w:bottom w:w="60" w:type="dxa"/>
              <w:right w:w="70" w:type="dxa"/>
            </w:tcMar>
          </w:tcPr>
          <w:p>
            <w:pPr>
              <w:pStyle w:val="CadEETableStyle"/>
            </w:pPr>
            <w:r>
              <w:t>0.909</w:t>
            </w:r>
          </w:p>
        </w:tc>
        <w:tc>
          <w:tcPr>
            <w:tcW w:w="1550" w:type="dxa"/>
            <w:vAlign w:val="center"/>
            <w:tcMar>
              <w:top w:w="60" w:type="dxa"/>
              <w:left w:w="70" w:type="dxa"/>
              <w:bottom w:w="60" w:type="dxa"/>
              <w:right w:w="70" w:type="dxa"/>
            </w:tcMar>
          </w:tcPr>
          <w:p>
            <w:pPr>
              <w:pStyle w:val="CadEETableStyle"/>
            </w:pPr>
            <w:r>
              <w:t>0.05</w:t>
            </w:r>
          </w:p>
        </w:tc>
        <w:tc>
          <w:tcPr>
            <w:tcW w:w="1550" w:type="dxa"/>
            <w:vAlign w:val="center"/>
            <w:tcMar>
              <w:top w:w="60" w:type="dxa"/>
              <w:left w:w="70" w:type="dxa"/>
              <w:bottom w:w="60" w:type="dxa"/>
              <w:right w:w="70" w:type="dxa"/>
            </w:tcMar>
          </w:tcPr>
          <w:p>
            <w:pPr>
              <w:pStyle w:val="CadEETableStyle"/>
            </w:pPr>
            <w:r>
              <w:t>1</w:t>
            </w:r>
          </w:p>
        </w:tc>
      </w:tr>
      <w:tr>
        <w:tc>
          <w:tcPr>
            <w:tcW w:w="516" w:type="dxa"/>
            <w:vAlign w:val="center"/>
            <w:tcMar>
              <w:top w:w="60" w:type="dxa"/>
              <w:left w:w="70" w:type="dxa"/>
              <w:bottom w:w="60" w:type="dxa"/>
              <w:right w:w="70" w:type="dxa"/>
            </w:tcMar>
          </w:tcPr>
          <w:p>
            <w:pPr>
              <w:pStyle w:val="CadEETableStyle"/>
            </w:pPr>
            <w:r>
              <w:t>2</w:t>
            </w:r>
          </w:p>
        </w:tc>
        <w:tc>
          <w:tcPr>
            <w:tcW w:w="3617" w:type="dxa"/>
            <w:vAlign w:val="center"/>
            <w:tcMar>
              <w:top w:w="60" w:type="dxa"/>
              <w:left w:w="70" w:type="dxa"/>
              <w:bottom w:w="60" w:type="dxa"/>
              <w:right w:w="70" w:type="dxa"/>
            </w:tcMar>
          </w:tcPr>
          <w:p>
            <w:pPr>
              <w:pStyle w:val="CadEETableStyle"/>
            </w:pPr>
            <w:r>
              <w:t>Спінений пінополістирол ρ=15 кг/м3</w:t>
            </w:r>
          </w:p>
        </w:tc>
        <w:tc>
          <w:tcPr>
            <w:tcW w:w="1033" w:type="dxa"/>
            <w:vAlign w:val="center"/>
            <w:tcMar>
              <w:top w:w="60" w:type="dxa"/>
              <w:left w:w="70" w:type="dxa"/>
              <w:bottom w:w="60" w:type="dxa"/>
              <w:right w:w="70" w:type="dxa"/>
            </w:tcMar>
          </w:tcPr>
          <w:p>
            <w:pPr>
              <w:pStyle w:val="CadEETableStyle"/>
            </w:pPr>
            <w:r>
              <w:t>0.05</w:t>
            </w:r>
          </w:p>
        </w:tc>
        <w:tc>
          <w:tcPr>
            <w:tcW w:w="1033" w:type="dxa"/>
            <w:vAlign w:val="center"/>
            <w:tcMar>
              <w:top w:w="60" w:type="dxa"/>
              <w:left w:w="70" w:type="dxa"/>
              <w:bottom w:w="60" w:type="dxa"/>
              <w:right w:w="70" w:type="dxa"/>
            </w:tcMar>
          </w:tcPr>
          <w:p>
            <w:pPr>
              <w:pStyle w:val="CadEETableStyle"/>
            </w:pPr>
            <w:r>
              <w:t>0.055</w:t>
            </w:r>
          </w:p>
        </w:tc>
        <w:tc>
          <w:tcPr>
            <w:tcW w:w="1033" w:type="dxa"/>
            <w:vAlign w:val="center"/>
            <w:tcMar>
              <w:top w:w="60" w:type="dxa"/>
              <w:left w:w="70" w:type="dxa"/>
              <w:bottom w:w="60" w:type="dxa"/>
              <w:right w:w="70" w:type="dxa"/>
            </w:tcMar>
          </w:tcPr>
          <w:p>
            <w:pPr>
              <w:pStyle w:val="CadEETableStyle"/>
            </w:pPr>
            <w:r>
              <w:t>1.818</w:t>
            </w:r>
          </w:p>
        </w:tc>
        <w:tc>
          <w:tcPr>
            <w:tcW w:w="1550" w:type="dxa"/>
            <w:vAlign w:val="center"/>
            <w:tcMar>
              <w:top w:w="60" w:type="dxa"/>
              <w:left w:w="70" w:type="dxa"/>
              <w:bottom w:w="60" w:type="dxa"/>
              <w:right w:w="70" w:type="dxa"/>
            </w:tcMar>
          </w:tcPr>
          <w:p>
            <w:pPr>
              <w:pStyle w:val="CadEETableStyle"/>
            </w:pPr>
            <w:r>
              <w:t>0.05</w:t>
            </w:r>
          </w:p>
        </w:tc>
        <w:tc>
          <w:tcPr>
            <w:tcW w:w="1550" w:type="dxa"/>
            <w:vAlign w:val="center"/>
            <w:tcMar>
              <w:top w:w="60" w:type="dxa"/>
              <w:left w:w="70" w:type="dxa"/>
              <w:bottom w:w="60" w:type="dxa"/>
              <w:right w:w="70" w:type="dxa"/>
            </w:tcMar>
          </w:tcPr>
          <w:p>
            <w:pPr>
              <w:pStyle w:val="CadEETableStyle"/>
            </w:pPr>
            <w:r>
              <w:t>2</w:t>
            </w:r>
          </w:p>
        </w:tc>
      </w:tr>
    </w:tbl>
    <w:p>
      <w:pPr>
        <w:spacing w:before="0" w:after="0" w:line="80" w:lineRule="exact"/>
      </w:pPr>
    </w:p>
    <w:p>
      <w:pPr>
        <w:pStyle w:val="CadEENormalText"/>
        <w:numPr>
          <w:ilvl w:val="2"/>
          <w:numId w:val="1"/>
        </w:numPr>
      </w:pPr>
      <w:bookmarkStart w:id="59" w:name="CadEE_Target_59"/>
      <w:r>
        <w:t xml:space="preserve">Опір паропроникненню конструкції в цілому:</w:t>
      </w:r>
      <w:bookmarkEnd w:id="5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r>
                      <m:rPr>
                        <m:sty m:val="i"/>
                      </m:rPr>
                      <m:t>es</m:t>
                    </m:r>
                  </m:sub>
                </m:sSub>
                <m:r>
                  <m:t>=</m:t>
                </m:r>
                <m:f>
                  <m:num>
                    <m:sSub>
                      <m:e>
                        <m:r>
                          <m:rPr>
                            <m:sty m:val="i"/>
                          </m:rPr>
                          <m:t>d</m:t>
                        </m:r>
                      </m:e>
                      <m:sub>
                        <m:r>
                          <m:t>1</m:t>
                        </m:r>
                      </m:sub>
                    </m:sSub>
                  </m:num>
                  <m:den>
                    <m:sSub>
                      <m:e>
                        <m:r>
                          <m:t>δ</m:t>
                        </m:r>
                      </m:e>
                      <m:sub>
                        <m:r>
                          <m:t>1</m:t>
                        </m:r>
                      </m:sub>
                    </m:sSub>
                  </m:den>
                </m:f>
                <m:r>
                  <m:t>+</m:t>
                </m:r>
                <m:f>
                  <m:num>
                    <m:sSub>
                      <m:e>
                        <m:r>
                          <m:rPr>
                            <m:sty m:val="i"/>
                          </m:rPr>
                          <m:t>d</m:t>
                        </m:r>
                      </m:e>
                      <m:sub>
                        <m:r>
                          <m:t>2</m:t>
                        </m:r>
                      </m:sub>
                    </m:sSub>
                  </m:num>
                  <m:den>
                    <m:sSub>
                      <m:e>
                        <m:r>
                          <m:t>δ</m:t>
                        </m:r>
                      </m:e>
                      <m:sub>
                        <m:r>
                          <m:t>2</m:t>
                        </m:r>
                      </m:sub>
                    </m:sSub>
                  </m:den>
                </m:f>
                <m:r>
                  <m:t>=</m:t>
                </m:r>
                <m:f>
                  <m:num>
                    <m:r>
                      <m:t>0.05</m:t>
                    </m:r>
                  </m:num>
                  <m:den>
                    <m:r>
                      <m:t>0.05</m:t>
                    </m:r>
                  </m:den>
                </m:f>
                <m:r>
                  <m:t>+</m:t>
                </m:r>
                <m:f>
                  <m:num>
                    <m:r>
                      <m:t>0.05</m:t>
                    </m:r>
                  </m:num>
                  <m:den>
                    <m:r>
                      <m:t>0.05</m:t>
                    </m:r>
                  </m:den>
                </m:f>
                <m:r>
                  <m:t>=</m:t>
                </m:r>
                <m:r>
                  <m:t>2</m:t>
                </m:r>
                <m:r>
                  <m:t xml:space="preserve"> </m:t>
                </m:r>
                <m:f>
                  <m:num>
                    <m:sSup>
                      <m:e>
                        <m:r>
                          <m:t>м</m:t>
                        </m:r>
                      </m:e>
                      <m:sup>
                        <m:r>
                          <m:t>2</m:t>
                        </m:r>
                      </m:sup>
                    </m:sSup>
                    <m:r>
                      <m:t>·</m:t>
                    </m:r>
                    <m:r>
                      <m:t>год</m:t>
                    </m:r>
                    <m:r>
                      <m:t>·</m:t>
                    </m:r>
                    <m:r>
                      <m:t>Па</m:t>
                    </m:r>
                  </m:num>
                  <m:den>
                    <m:r>
                      <m:t>мг</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0" w:name="CadEE_Target_60"/>
            <w:r>
              <w:fldChar w:fldCharType="begin"/>
            </w:r>
            <w:r>
              <w:instrText xml:space="preserve"> SEQ CadEE_Formula \* ARABIC </w:instrText>
            </w:r>
            <w:r>
              <w:fldChar w:fldCharType="separate"/>
            </w:r>
            <w:r>
              <w:t xml:space="preserve">18</w:t>
            </w:r>
            <w:r>
              <w:fldChar w:fldCharType="end"/>
            </w:r>
            <w:bookmarkEnd w:id="60"/>
            <w:r>
              <w:t>)</w:t>
            </w:r>
          </w:p>
        </w:tc>
      </w:tr>
    </w:tbl>
    <w:p>
      <w:pPr>
        <w:pStyle w:val="CadEENormalText"/>
      </w:pPr>
      <w:r>
        <w:t xml:space="preserve">де </w:t>
      </w:r>
      <w:r>
        <w:rPr>
          <w:rFonts w:ascii="Cambria Math" w:hAnsi="Cambria Math" w:eastAsia="Cambria Math" w:cs="Cambria Math"/>
        </w:rPr>
        <w:t xml:space="preserve">d</w:t>
      </w:r>
      <w:r>
        <w:rPr>
          <w:rFonts w:ascii="Cambria Math" w:hAnsi="Cambria Math" w:eastAsia="Cambria Math" w:cs="Cambria Math"/>
          <w:vertAlign w:val="subscript"/>
        </w:rPr>
        <w:t xml:space="preserve">1</w:t>
      </w:r>
      <w:r>
        <w:t xml:space="preserve">..</w:t>
      </w:r>
      <w:r>
        <w:rPr>
          <w:rFonts w:ascii="Cambria Math" w:hAnsi="Cambria Math" w:eastAsia="Cambria Math" w:cs="Cambria Math"/>
        </w:rPr>
        <w:t xml:space="preserve">d</w:t>
      </w:r>
      <w:r>
        <w:rPr>
          <w:rFonts w:ascii="Cambria Math" w:hAnsi="Cambria Math" w:eastAsia="Cambria Math" w:cs="Cambria Math"/>
          <w:vertAlign w:val="subscript"/>
        </w:rPr>
        <w:t xml:space="preserve">2</w:t>
      </w:r>
      <w:r>
        <w:t xml:space="preserve"> - те саме, що у формулі (</w:t>
      </w:r>
      <w:r>
        <w:fldChar w:fldCharType="begin"/>
      </w:r>
      <w:r>
        <w:instrText xml:space="preserve"> REF CadEE_Target_11 \h </w:instrText>
      </w:r>
      <w:r>
        <w:fldChar w:fldCharType="separate"/>
      </w:r>
      <w:r>
        <w:t xml:space="preserve">2</w:t>
      </w:r>
      <w:r>
        <w:fldChar w:fldCharType="end"/>
      </w:r>
      <w:r>
        <w:t xml:space="preserve">); </w:t>
      </w:r>
      <w:r>
        <w:rPr>
          <w:rFonts w:ascii="Cambria Math" w:hAnsi="Cambria Math" w:eastAsia="Cambria Math" w:cs="Cambria Math"/>
        </w:rPr>
        <w:t xml:space="preserve">δ</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CadEE_Target_55 \h </w:instrText>
      </w:r>
      <w:r>
        <w:fldChar w:fldCharType="separate"/>
      </w:r>
      <w:r>
        <w:t xml:space="preserve">16</w:t>
      </w:r>
      <w:r>
        <w:fldChar w:fldCharType="end"/>
      </w:r>
      <w:r>
        <w:t xml:space="preserve">); </w:t>
      </w:r>
      <w:r>
        <w:rPr>
          <w:rFonts w:ascii="Cambria Math" w:hAnsi="Cambria Math" w:eastAsia="Cambria Math" w:cs="Cambria Math"/>
        </w:rPr>
        <w:t xml:space="preserve">δ</w:t>
      </w:r>
      <w:r>
        <w:rPr>
          <w:rFonts w:ascii="Cambria Math" w:hAnsi="Cambria Math" w:eastAsia="Cambria Math" w:cs="Cambria Math"/>
          <w:vertAlign w:val="subscript"/>
        </w:rPr>
        <w:t xml:space="preserve">2</w:t>
      </w:r>
      <w:r>
        <w:t xml:space="preserve"> - те саме, що у формулі (</w:t>
      </w:r>
      <w:r>
        <w:fldChar w:fldCharType="begin"/>
      </w:r>
      <w:r>
        <w:instrText xml:space="preserve"> REF CadEE_Target_57 \h </w:instrText>
      </w:r>
      <w:r>
        <w:fldChar w:fldCharType="separate"/>
      </w:r>
      <w:r>
        <w:t xml:space="preserve">17</w:t>
      </w:r>
      <w:r>
        <w:fldChar w:fldCharType="end"/>
      </w:r>
      <w:r>
        <w:t xml:space="preserve">).</w:t>
      </w:r>
    </w:p>
    <w:p>
      <w:pPr>
        <w:pStyle w:val="CadEEHeadingLevel3"/>
        <w:numPr>
          <w:ilvl w:val="2"/>
          <w:numId w:val="1"/>
        </w:numPr>
      </w:pPr>
      <w:bookmarkStart w:id="61" w:name="CadEE_Target_61"/>
      <w:r>
        <w:t xml:space="preserve">Розрахунок вологонакопичення в місяці січень:</w:t>
      </w:r>
      <w:bookmarkEnd w:id="61"/>
    </w:p>
    <w:p>
      <w:pPr>
        <w:pStyle w:val="CadEENormalText"/>
        <w:numPr>
          <w:ilvl w:val="3"/>
          <w:numId w:val="1"/>
        </w:numPr>
      </w:pPr>
      <w:bookmarkStart w:id="62" w:name="CadEE_Target_62"/>
      <w:r>
        <w:t xml:space="preserve">Розрахункові значення температури та відносної вологості зовнішнього повітря визначаємо згідно з табл. 2 та табл. 24  ДСТУ-Н Б В.1.1-27:2010, як для середньої місячної температури повітря для міста Львів (п.4.2.4.4 та п.4.2.4.3 ДСТУ Б В.2.6-192:2013):</w:t>
      </w:r>
      <w:bookmarkEnd w:id="62"/>
    </w:p>
    <w:p>
      <w:pPr>
        <w:pStyle w:val="CadEEEquationStyle"/>
      </w:pPr>
      <m:oMathPara>
        <m:oMath>
          <m:sSub>
            <m:e>
              <m:r>
                <m:t>φ</m:t>
              </m:r>
            </m:e>
            <m:sub>
              <m:r>
                <m:rPr>
                  <m:sty m:val="i"/>
                </m:rPr>
                <m:t>ext</m:t>
              </m:r>
            </m:sub>
          </m:sSub>
          <m:r>
            <m:t>=</m:t>
          </m:r>
          <m:r>
            <m:t>84</m:t>
          </m:r>
          <m:r>
            <m:t>%</m:t>
          </m:r>
          <m:r>
            <m:t xml:space="preserve"> </m:t>
          </m:r>
          <m:r>
            <m:t>τ</m:t>
          </m:r>
          <m:r>
            <m:t>=</m:t>
          </m:r>
          <m:r>
            <m:t>744</m:t>
          </m:r>
          <m:r>
            <m:t>год</m:t>
          </m:r>
        </m:oMath>
      </m:oMathPara>
    </w:p>
    <w:p>
      <w:pPr>
        <w:pStyle w:val="CadEEEquationStyle"/>
      </w:pPr>
      <m:oMathPara>
        <m:oMath>
          <m:sSub>
            <m:e>
              <m:r>
                <m:t>θ</m:t>
              </m:r>
            </m:e>
            <m:sub>
              <m:r>
                <m:rPr>
                  <m:sty m:val="i"/>
                </m:rPr>
                <m:t>ext</m:t>
              </m:r>
            </m:sub>
          </m:sSub>
          <m:r>
            <m:t>=</m:t>
          </m:r>
          <m:r>
            <m:t>−</m:t>
          </m:r>
          <m:r>
            <m:t>4</m:t>
          </m:r>
          <m:r>
            <m:t>°С;</m:t>
          </m:r>
        </m:oMath>
      </m:oMathPara>
    </w:p>
    <w:p>
      <w:pPr>
        <w:pStyle w:val="CadEENormalText"/>
        <w:numPr>
          <w:ilvl w:val="3"/>
          <w:numId w:val="1"/>
        </w:numPr>
      </w:pPr>
      <w:bookmarkStart w:id="65" w:name="CadEE_Target_65"/>
      <w:r>
        <w:t xml:space="preserve">Температура в площинах на межі шарів : </w:t>
      </w:r>
      <w:bookmarkEnd w:id="6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θ</m:t>
                    </m:r>
                  </m:e>
                  <m:sub>
                    <m:r>
                      <m:t>0</m:t>
                    </m:r>
                  </m:sub>
                </m:sSub>
                <m:r>
                  <m:t>=</m:t>
                </m:r>
                <m:sSub>
                  <m:e>
                    <m:r>
                      <m:t>θ</m:t>
                    </m:r>
                  </m:e>
                  <m:sub>
                    <m:r>
                      <m:rPr>
                        <m:sty m:val="i"/>
                      </m:rPr>
                      <m:t>int</m:t>
                    </m:r>
                  </m:sub>
                </m:sSub>
                <m:r>
                  <m:t>−</m:t>
                </m:r>
                <m:f>
                  <m:num>
                    <m:d>
                      <m:dPr>
                        <m:begChr m:val="("/>
                        <m:endChr m:val=")"/>
                      </m:dPr>
                      <m:e>
                        <m:sSub>
                          <m:e>
                            <m:r>
                              <m:t>θ</m:t>
                            </m:r>
                          </m:e>
                          <m:sub>
                            <m:r>
                              <m:rPr>
                                <m:sty m:val="i"/>
                              </m:rPr>
                              <m:t>int</m:t>
                            </m:r>
                          </m:sub>
                        </m:sSub>
                        <m:r>
                          <m:t>−</m:t>
                        </m:r>
                        <m:sSub>
                          <m:e>
                            <m:r>
                              <m:t>θ</m:t>
                            </m:r>
                          </m:e>
                          <m:sub>
                            <m:r>
                              <m:rPr>
                                <m:sty m:val="i"/>
                              </m:rPr>
                              <m:t>ext</m:t>
                            </m:r>
                          </m:sub>
                        </m:sSub>
                      </m:e>
                    </m:d>
                  </m:num>
                  <m:den>
                    <m:sSub>
                      <m:e>
                        <m:r>
                          <m:rPr>
                            <m:sty m:val="i"/>
                          </m:rPr>
                          <m:t>R</m:t>
                        </m:r>
                      </m:e>
                      <m:sub>
                        <m:r>
                          <m:rPr>
                            <m:sty m:val="i"/>
                          </m:rPr>
                          <m:t>s</m:t>
                        </m:r>
                      </m:sub>
                    </m:sSub>
                  </m:den>
                </m:f>
                <m:f>
                  <m:num>
                    <m:r>
                      <m:t>1</m:t>
                    </m:r>
                  </m:num>
                  <m:den>
                    <m:sSub>
                      <m:e>
                        <m:r>
                          <m:rPr>
                            <m:sty m:val="i"/>
                          </m:rPr>
                          <m:t>h</m:t>
                        </m:r>
                      </m:e>
                      <m:sub>
                        <m:r>
                          <m:rPr>
                            <m:sty m:val="i"/>
                          </m:rPr>
                          <m:t>si</m:t>
                        </m:r>
                      </m:sub>
                    </m:sSub>
                  </m:den>
                </m:f>
                <m:r>
                  <m:t>=</m:t>
                </m:r>
                <m:r>
                  <m:t>20</m:t>
                </m:r>
                <m:r>
                  <m:t>−</m:t>
                </m:r>
                <m:f>
                  <m:num>
                    <m:d>
                      <m:dPr>
                        <m:begChr m:val="("/>
                        <m:endChr m:val=")"/>
                      </m:dPr>
                      <m:e>
                        <m:r>
                          <m:t>20</m:t>
                        </m:r>
                        <m:r>
                          <m:t>−</m:t>
                        </m:r>
                        <m:r>
                          <m:t>−</m:t>
                        </m:r>
                        <m:r>
                          <m:t>4</m:t>
                        </m:r>
                      </m:e>
                    </m:d>
                  </m:num>
                  <m:den>
                    <m:r>
                      <m:t>1.977</m:t>
                    </m:r>
                  </m:den>
                </m:f>
                <m:r>
                  <m:t>·</m:t>
                </m:r>
                <m:f>
                  <m:num>
                    <m:r>
                      <m:t>1</m:t>
                    </m:r>
                  </m:num>
                  <m:den>
                    <m:r>
                      <m:t>8.7</m:t>
                    </m:r>
                  </m:den>
                </m:f>
                <m:r>
                  <m:t>=</m:t>
                </m:r>
                <m:r>
                  <m:t>18.604</m:t>
                </m:r>
                <m:r>
                  <m:t xml:space="preserve"> </m:t>
                </m:r>
                <m:r>
                  <m:t>°C</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6" w:name="CadEE_Target_66"/>
            <w:r>
              <w:fldChar w:fldCharType="begin"/>
            </w:r>
            <w:r>
              <w:instrText xml:space="preserve"> SEQ CadEE_Formula \* ARABIC </w:instrText>
            </w:r>
            <w:r>
              <w:fldChar w:fldCharType="separate"/>
            </w:r>
            <w:r>
              <w:t xml:space="preserve">19</w:t>
            </w:r>
            <w:r>
              <w:fldChar w:fldCharType="end"/>
            </w:r>
            <w:bookmarkEnd w:id="66"/>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ext</w:t>
      </w:r>
      <w:r>
        <w:t xml:space="preserve"> - те саме, що у формулі (</w:t>
      </w:r>
      <w:r>
        <w:fldChar w:fldCharType="begin"/>
      </w:r>
      <w:r>
        <w:instrText xml:space="preserve"> REF CadEE_Target_30 \h </w:instrText>
      </w:r>
      <w:r>
        <w:fldChar w:fldCharType="separate"/>
      </w:r>
      <w:r>
        <w:t xml:space="preserve">9</w:t>
      </w:r>
      <w:r>
        <w:fldChar w:fldCharType="end"/>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s</w:t>
      </w:r>
      <w:r>
        <w:t xml:space="preserve"> - те саме, що у формулі (</w:t>
      </w:r>
      <w:r>
        <w:fldChar w:fldCharType="begin"/>
      </w:r>
      <w:r>
        <w:instrText xml:space="preserve"> REF CadEE_Target_20 \h </w:instrText>
      </w:r>
      <w:r>
        <w:fldChar w:fldCharType="separate"/>
      </w:r>
      <w:r>
        <w:t xml:space="preserve">6</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si</w:t>
      </w:r>
      <w:r>
        <w:t xml:space="preserve"> - те саме, що у формулі (</w:t>
      </w:r>
      <w:r>
        <w:fldChar w:fldCharType="begin"/>
      </w:r>
      <w:r>
        <w:instrText xml:space="preserve"> REF CadEE_Target_11 \h </w:instrText>
      </w:r>
      <w:r>
        <w:fldChar w:fldCharType="separate"/>
      </w:r>
      <w:r>
        <w:t xml:space="preserve">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θ</m:t>
                    </m:r>
                  </m:e>
                  <m:sub>
                    <m:r>
                      <m:t>1</m:t>
                    </m:r>
                  </m:sub>
                </m:sSub>
                <m:r>
                  <m:t>=</m:t>
                </m:r>
                <m:sSub>
                  <m:e>
                    <m:r>
                      <m:t>θ</m:t>
                    </m:r>
                  </m:e>
                  <m:sub>
                    <m:r>
                      <m:rPr>
                        <m:sty m:val="i"/>
                      </m:rPr>
                      <m:t>int</m:t>
                    </m:r>
                  </m:sub>
                </m:sSub>
                <m:r>
                  <m:t>−</m:t>
                </m:r>
                <m:f>
                  <m:num>
                    <m:d>
                      <m:dPr>
                        <m:begChr m:val="("/>
                        <m:endChr m:val=")"/>
                      </m:dPr>
                      <m:e>
                        <m:sSub>
                          <m:e>
                            <m:r>
                              <m:t>θ</m:t>
                            </m:r>
                          </m:e>
                          <m:sub>
                            <m:r>
                              <m:rPr>
                                <m:sty m:val="i"/>
                              </m:rPr>
                              <m:t>int</m:t>
                            </m:r>
                          </m:sub>
                        </m:sSub>
                        <m:r>
                          <m:t>−</m:t>
                        </m:r>
                        <m:sSub>
                          <m:e>
                            <m:r>
                              <m:t>θ</m:t>
                            </m:r>
                          </m:e>
                          <m:sub>
                            <m:r>
                              <m:rPr>
                                <m:sty m:val="i"/>
                              </m:rPr>
                              <m:t>ext</m:t>
                            </m:r>
                          </m:sub>
                        </m:sSub>
                      </m:e>
                    </m:d>
                  </m:num>
                  <m:den>
                    <m:sSub>
                      <m:e>
                        <m:r>
                          <m:rPr>
                            <m:sty m:val="i"/>
                          </m:rPr>
                          <m:t>R</m:t>
                        </m:r>
                      </m:e>
                      <m:sub>
                        <m:r>
                          <m:rPr>
                            <m:sty m:val="i"/>
                          </m:rPr>
                          <m:t>s</m:t>
                        </m:r>
                      </m:sub>
                    </m:sSub>
                  </m:den>
                </m:f>
                <m:d>
                  <m:dPr>
                    <m:begChr m:val="("/>
                    <m:endChr m:val=")"/>
                  </m:dPr>
                  <m:e>
                    <m:f>
                      <m:num>
                        <m:r>
                          <m:t>1</m:t>
                        </m:r>
                      </m:num>
                      <m:den>
                        <m:sSub>
                          <m:e>
                            <m:r>
                              <m:rPr>
                                <m:sty m:val="i"/>
                              </m:rPr>
                              <m:t>h</m:t>
                            </m:r>
                          </m:e>
                          <m:sub>
                            <m:r>
                              <m:rPr>
                                <m:sty m:val="i"/>
                              </m:rPr>
                              <m:t>si</m:t>
                            </m:r>
                          </m:sub>
                        </m:sSub>
                      </m:den>
                    </m:f>
                    <m:r>
                      <m:t>+</m:t>
                    </m:r>
                    <m:sSub>
                      <m:e>
                        <m:r>
                          <m:rPr>
                            <m:sty m:val="i"/>
                          </m:rPr>
                          <m:t>R</m:t>
                        </m:r>
                      </m:e>
                      <m:sub>
                        <m:r>
                          <m:t>1</m:t>
                        </m:r>
                      </m:sub>
                    </m:sSub>
                  </m:e>
                </m:d>
                <m:r>
                  <m:t>=</m:t>
                </m:r>
                <m:r>
                  <m:t>20</m:t>
                </m:r>
                <m:r>
                  <m:t>−</m:t>
                </m:r>
                <m:f>
                  <m:num>
                    <m:d>
                      <m:dPr>
                        <m:begChr m:val="("/>
                        <m:endChr m:val=")"/>
                      </m:dPr>
                      <m:e>
                        <m:r>
                          <m:t>20</m:t>
                        </m:r>
                        <m:r>
                          <m:t>−</m:t>
                        </m:r>
                        <m:r>
                          <m:t>−</m:t>
                        </m:r>
                        <m:r>
                          <m:t>4</m:t>
                        </m:r>
                      </m:e>
                    </m:d>
                  </m:num>
                  <m:den>
                    <m:r>
                      <m:t>1.977</m:t>
                    </m:r>
                  </m:den>
                </m:f>
                <m:r>
                  <m:t>·</m:t>
                </m:r>
                <m:d>
                  <m:dPr>
                    <m:begChr m:val="("/>
                    <m:endChr m:val=")"/>
                  </m:dPr>
                  <m:e>
                    <m:f>
                      <m:num>
                        <m:r>
                          <m:t>1</m:t>
                        </m:r>
                      </m:num>
                      <m:den>
                        <m:r>
                          <m:t>8.7</m:t>
                        </m:r>
                      </m:den>
                    </m:f>
                    <m:r>
                      <m:t>+</m:t>
                    </m:r>
                    <m:r>
                      <m:t>0.909</m:t>
                    </m:r>
                  </m:e>
                </m:d>
                <m:r>
                  <m:t>=</m:t>
                </m:r>
                <m:r>
                  <m:t>7.566</m:t>
                </m:r>
                <m:r>
                  <m:t xml:space="preserve"> </m:t>
                </m:r>
                <m:r>
                  <m:t>°C</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7" w:name="CadEE_Target_67"/>
            <w:r>
              <w:fldChar w:fldCharType="begin"/>
            </w:r>
            <w:r>
              <w:instrText xml:space="preserve"> SEQ CadEE_Formula \* ARABIC </w:instrText>
            </w:r>
            <w:r>
              <w:fldChar w:fldCharType="separate"/>
            </w:r>
            <w:r>
              <w:t xml:space="preserve">20</w:t>
            </w:r>
            <w:r>
              <w:fldChar w:fldCharType="end"/>
            </w:r>
            <w:bookmarkEnd w:id="67"/>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ext</w:t>
      </w:r>
      <w:r>
        <w:t xml:space="preserve"> - те саме, що у формулі (</w:t>
      </w:r>
      <w:r>
        <w:fldChar w:fldCharType="begin"/>
      </w:r>
      <w:r>
        <w:instrText xml:space="preserve"> REF CadEE_Target_30 \h </w:instrText>
      </w:r>
      <w:r>
        <w:fldChar w:fldCharType="separate"/>
      </w:r>
      <w:r>
        <w:t xml:space="preserve">9</w:t>
      </w:r>
      <w:r>
        <w:fldChar w:fldCharType="end"/>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s</w:t>
      </w:r>
      <w:r>
        <w:t xml:space="preserve"> - те саме, що у формулі (</w:t>
      </w:r>
      <w:r>
        <w:fldChar w:fldCharType="begin"/>
      </w:r>
      <w:r>
        <w:instrText xml:space="preserve"> REF CadEE_Target_20 \h </w:instrText>
      </w:r>
      <w:r>
        <w:fldChar w:fldCharType="separate"/>
      </w:r>
      <w:r>
        <w:t xml:space="preserve">6</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si</w:t>
      </w:r>
      <w:r>
        <w:t xml:space="preserve"> - те саме, що у формулі (</w:t>
      </w:r>
      <w:r>
        <w:fldChar w:fldCharType="begin"/>
      </w:r>
      <w:r>
        <w:instrText xml:space="preserve"> REF CadEE_Target_11 \h </w:instrText>
      </w:r>
      <w:r>
        <w:fldChar w:fldCharType="separate"/>
      </w:r>
      <w:r>
        <w:t xml:space="preserve">2</w:t>
      </w:r>
      <w:r>
        <w:fldChar w:fldCharType="end"/>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CadEE_Target_31 \h </w:instrText>
      </w:r>
      <w:r>
        <w:fldChar w:fldCharType="separate"/>
      </w:r>
      <w:r>
        <w:t xml:space="preserve">10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θ</m:t>
                    </m:r>
                  </m:e>
                  <m:sub>
                    <m:r>
                      <m:t>2</m:t>
                    </m:r>
                  </m:sub>
                </m:sSub>
                <m:r>
                  <m:t>=</m:t>
                </m:r>
                <m:sSub>
                  <m:e>
                    <m:r>
                      <m:t>θ</m:t>
                    </m:r>
                  </m:e>
                  <m:sub>
                    <m:r>
                      <m:rPr>
                        <m:sty m:val="i"/>
                      </m:rPr>
                      <m:t>int</m:t>
                    </m:r>
                  </m:sub>
                </m:sSub>
                <m:r>
                  <m:t>−</m:t>
                </m:r>
                <m:f>
                  <m:num>
                    <m:d>
                      <m:dPr>
                        <m:begChr m:val="("/>
                        <m:endChr m:val=")"/>
                      </m:dPr>
                      <m:e>
                        <m:sSub>
                          <m:e>
                            <m:r>
                              <m:t>θ</m:t>
                            </m:r>
                          </m:e>
                          <m:sub>
                            <m:r>
                              <m:rPr>
                                <m:sty m:val="i"/>
                              </m:rPr>
                              <m:t>int</m:t>
                            </m:r>
                          </m:sub>
                        </m:sSub>
                        <m:r>
                          <m:t>−</m:t>
                        </m:r>
                        <m:sSub>
                          <m:e>
                            <m:r>
                              <m:t>θ</m:t>
                            </m:r>
                          </m:e>
                          <m:sub>
                            <m:r>
                              <m:rPr>
                                <m:sty m:val="i"/>
                              </m:rPr>
                              <m:t>ext</m:t>
                            </m:r>
                          </m:sub>
                        </m:sSub>
                      </m:e>
                    </m:d>
                  </m:num>
                  <m:den>
                    <m:sSub>
                      <m:e>
                        <m:r>
                          <m:rPr>
                            <m:sty m:val="i"/>
                          </m:rPr>
                          <m:t>R</m:t>
                        </m:r>
                      </m:e>
                      <m:sub>
                        <m:r>
                          <m:rPr>
                            <m:sty m:val="i"/>
                          </m:rPr>
                          <m:t>s</m:t>
                        </m:r>
                      </m:sub>
                    </m:sSub>
                  </m:den>
                </m:f>
                <m:d>
                  <m:dPr>
                    <m:begChr m:val="("/>
                    <m:endChr m:val=")"/>
                  </m:dPr>
                  <m:e>
                    <m:f>
                      <m:num>
                        <m:r>
                          <m:t>1</m:t>
                        </m:r>
                      </m:num>
                      <m:den>
                        <m:sSub>
                          <m:e>
                            <m:r>
                              <m:rPr>
                                <m:sty m:val="i"/>
                              </m:rPr>
                              <m:t>h</m:t>
                            </m:r>
                          </m:e>
                          <m:sub>
                            <m:r>
                              <m:rPr>
                                <m:sty m:val="i"/>
                              </m:rPr>
                              <m:t>si</m:t>
                            </m:r>
                          </m:sub>
                        </m:sSub>
                      </m:den>
                    </m:f>
                    <m:r>
                      <m:t>+</m:t>
                    </m:r>
                    <m:sSub>
                      <m:e>
                        <m:r>
                          <m:rPr>
                            <m:sty m:val="i"/>
                          </m:rPr>
                          <m:t>R</m:t>
                        </m:r>
                      </m:e>
                      <m:sub>
                        <m:r>
                          <m:t>2</m:t>
                        </m:r>
                      </m:sub>
                    </m:sSub>
                  </m:e>
                </m:d>
                <m:r>
                  <m:t>=</m:t>
                </m:r>
                <m:r>
                  <m:t>20</m:t>
                </m:r>
                <m:r>
                  <m:t>−</m:t>
                </m:r>
                <m:f>
                  <m:num>
                    <m:d>
                      <m:dPr>
                        <m:begChr m:val="("/>
                        <m:endChr m:val=")"/>
                      </m:dPr>
                      <m:e>
                        <m:r>
                          <m:t>20</m:t>
                        </m:r>
                        <m:r>
                          <m:t>−</m:t>
                        </m:r>
                        <m:r>
                          <m:t>−</m:t>
                        </m:r>
                        <m:r>
                          <m:t>4</m:t>
                        </m:r>
                      </m:e>
                    </m:d>
                  </m:num>
                  <m:den>
                    <m:r>
                      <m:t>1.977</m:t>
                    </m:r>
                  </m:den>
                </m:f>
                <m:r>
                  <m:t>·</m:t>
                </m:r>
                <m:d>
                  <m:dPr>
                    <m:begChr m:val="("/>
                    <m:endChr m:val=")"/>
                  </m:dPr>
                  <m:e>
                    <m:f>
                      <m:num>
                        <m:r>
                          <m:t>1</m:t>
                        </m:r>
                      </m:num>
                      <m:den>
                        <m:r>
                          <m:t>8.7</m:t>
                        </m:r>
                      </m:den>
                    </m:f>
                    <m:r>
                      <m:t>+</m:t>
                    </m:r>
                    <m:r>
                      <m:t>1.818</m:t>
                    </m:r>
                  </m:e>
                </m:d>
                <m:r>
                  <m:t>=</m:t>
                </m:r>
                <m:r>
                  <m:t>−</m:t>
                </m:r>
                <m:r>
                  <m:t>3.472</m:t>
                </m:r>
                <m:r>
                  <m:t xml:space="preserve"> </m:t>
                </m:r>
                <m:r>
                  <m:t>°C</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8" w:name="CadEE_Target_68"/>
            <w:r>
              <w:fldChar w:fldCharType="begin"/>
            </w:r>
            <w:r>
              <w:instrText xml:space="preserve"> SEQ CadEE_Formula \* ARABIC </w:instrText>
            </w:r>
            <w:r>
              <w:fldChar w:fldCharType="separate"/>
            </w:r>
            <w:r>
              <w:t xml:space="preserve">21</w:t>
            </w:r>
            <w:r>
              <w:fldChar w:fldCharType="end"/>
            </w:r>
            <w:bookmarkEnd w:id="68"/>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ext</w:t>
      </w:r>
      <w:r>
        <w:t xml:space="preserve"> - те саме, що у формулі (</w:t>
      </w:r>
      <w:r>
        <w:fldChar w:fldCharType="begin"/>
      </w:r>
      <w:r>
        <w:instrText xml:space="preserve"> REF CadEE_Target_30 \h </w:instrText>
      </w:r>
      <w:r>
        <w:fldChar w:fldCharType="separate"/>
      </w:r>
      <w:r>
        <w:t xml:space="preserve">9</w:t>
      </w:r>
      <w:r>
        <w:fldChar w:fldCharType="end"/>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s</w:t>
      </w:r>
      <w:r>
        <w:t xml:space="preserve"> - те саме, що у формулі (</w:t>
      </w:r>
      <w:r>
        <w:fldChar w:fldCharType="begin"/>
      </w:r>
      <w:r>
        <w:instrText xml:space="preserve"> REF CadEE_Target_20 \h </w:instrText>
      </w:r>
      <w:r>
        <w:fldChar w:fldCharType="separate"/>
      </w:r>
      <w:r>
        <w:t xml:space="preserve">6</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si</w:t>
      </w:r>
      <w:r>
        <w:t xml:space="preserve"> - те саме, що у формулі (</w:t>
      </w:r>
      <w:r>
        <w:fldChar w:fldCharType="begin"/>
      </w:r>
      <w:r>
        <w:instrText xml:space="preserve"> REF CadEE_Target_11 \h </w:instrText>
      </w:r>
      <w:r>
        <w:fldChar w:fldCharType="separate"/>
      </w:r>
      <w:r>
        <w:t xml:space="preserve">2</w:t>
      </w:r>
      <w:r>
        <w:fldChar w:fldCharType="end"/>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2</w:t>
      </w:r>
      <w:r>
        <w:t xml:space="preserve"> - те саме, що у формулі (</w:t>
      </w:r>
      <w:r>
        <w:fldChar w:fldCharType="begin"/>
      </w:r>
      <w:r>
        <w:instrText xml:space="preserve"> REF CadEE_Target_32 \h </w:instrText>
      </w:r>
      <w:r>
        <w:fldChar w:fldCharType="separate"/>
      </w:r>
      <w:r>
        <w:t xml:space="preserve">11</w:t>
      </w:r>
      <w:r>
        <w:fldChar w:fldCharType="end"/>
      </w:r>
      <w:r>
        <w:t xml:space="preserve">).</w:t>
      </w:r>
    </w:p>
    <w:p>
      <w:pPr>
        <w:jc w:val="center"/>
      </w:pPr>
      <w:r>
        <w:rPr/>
        <w:drawing>
          <wp:inline distT="0" distB="0" distL="0" distR="0">
            <wp:extent cx="5400000" cy="2700000"/>
            <wp:docPr id="2" name="Image2"/>
            <a:graphic xmlns:a="http://schemas.openxmlformats.org/drawingml/2006/main">
              <a:graphicData uri="http://schemas.openxmlformats.org/drawingml/2006/picture">
                <pic:pic xmlns:pic="http://schemas.openxmlformats.org/drawingml/2006/picture">
                  <pic:nvPicPr>
                    <pic:cNvPr id="2" name="Image2"/>
                    <pic:cNvPicPr/>
                  </pic:nvPicPr>
                  <pic:blipFill>
                    <a:blip xmlns:r="http://schemas.openxmlformats.org/officeDocument/2006/relationships" r:embed="rId5"/>
                    <a:stretch>
                      <a:fillRect/>
                    </a:stretch>
                  </pic:blipFill>
                  <pic:spPr>
                    <a:xfrm>
                      <a:off x="0" y="0"/>
                      <a:ext cx="5400000" cy="2700000"/>
                    </a:xfrm>
                    <a:prstGeom prst="rect">
                      <a:avLst/>
                    </a:prstGeom>
                  </pic:spPr>
                </pic:pic>
              </a:graphicData>
            </a:graphic>
          </wp:inline>
        </w:drawing>
      </w:r>
    </w:p>
    <w:p>
      <w:pPr>
        <w:pStyle w:val="CadEEFigureCaption"/>
      </w:pPr>
      <w:r>
        <w:t xml:space="preserve">Рисунок </w:t>
      </w:r>
      <w:bookmarkStart w:id="69" w:name="CadEE_Target_69"/>
      <w:r>
        <w:fldChar w:fldCharType="begin"/>
      </w:r>
      <w:r>
        <w:instrText xml:space="preserve"> SEQ CadEE_Figure \* ARABIC </w:instrText>
      </w:r>
      <w:r>
        <w:fldChar w:fldCharType="separate"/>
      </w:r>
      <w:r>
        <w:t xml:space="preserve">1.2</w:t>
      </w:r>
      <w:r>
        <w:fldChar w:fldCharType="end"/>
      </w:r>
      <w:bookmarkEnd w:id="69"/>
      <w:r>
        <w:t xml:space="preserve">. Розподіл температур у товщині огороджуючої конструкції (січень).</w:t>
      </w:r>
    </w:p>
    <w:p>
      <w:pPr>
        <w:pStyle w:val="CadEENormalText"/>
      </w:pPr>
      <w:r>
        <w:t xml:space="preserve">Графік розподілу температур див. рис. </w:t>
      </w:r>
      <w:r>
        <w:fldChar w:fldCharType="begin"/>
      </w:r>
      <w:r>
        <w:instrText xml:space="preserve"> REF CadEE_Target_69 \h </w:instrText>
      </w:r>
      <w:r>
        <w:fldChar w:fldCharType="separate"/>
      </w:r>
      <w:r>
        <w:t xml:space="preserve">1.2</w:t>
      </w:r>
      <w:r>
        <w:fldChar w:fldCharType="end"/>
      </w:r>
    </w:p>
    <w:p>
      <w:pPr>
        <w:pStyle w:val="CadEENormalText"/>
        <w:numPr>
          <w:ilvl w:val="3"/>
          <w:numId w:val="1"/>
        </w:numPr>
      </w:pPr>
      <w:bookmarkStart w:id="70" w:name="CadEE_Target_70"/>
      <w:r>
        <w:t xml:space="preserve">Визначимо парціальний тиск насиченої водяної пари згідно з таблицею Б.1 ДСТУ Б В.2.6-192:2013</w:t>
      </w:r>
      <w:bookmarkEnd w:id="70"/>
    </w:p>
    <w:p>
      <w:pPr>
        <w:pStyle w:val="CadEENormalText"/>
      </w:pPr>
      <w:r>
        <w:t xml:space="preserve">Розрахункові умови для визначення тиску насиченої водяної пари:</w:t>
      </w:r>
    </w:p>
    <w:p>
      <w:pPr>
        <w:pStyle w:val="CadEENormalText"/>
      </w:pPr>
      <w:r>
        <w:t xml:space="preserve">Відповідно до п. Б.1.2.1 та Б.1.2.2 ДСТУ Б В.2.6-192:2013 приймаємо:</w:t>
      </w:r>
    </w:p>
    <w:p>
      <w:pPr>
        <w:pStyle w:val="CadEENormalText"/>
      </w:pPr>
      <w:r>
        <w:t xml:space="preserve">- для внутрішнього повітря: </w:t>
      </w:r>
      <w:r>
        <w:rPr>
          <w:rFonts w:ascii="Cambria Math" w:hAnsi="Cambria Math" w:eastAsia="Cambria Math" w:cs="Cambria Math"/>
        </w:rPr>
        <w:t xml:space="preserve">θ</w:t>
      </w:r>
      <w:r>
        <w:rPr>
          <w:rFonts w:ascii="Cambria Math" w:hAnsi="Cambria Math" w:eastAsia="Cambria Math" w:cs="Cambria Math"/>
          <w:vertAlign w:val="subscript"/>
        </w:rPr>
        <w:t xml:space="preserve">int</w:t>
      </w:r>
      <w:r>
        <w:t xml:space="preserve"> = 20 °C, </w:t>
      </w:r>
      <w:r>
        <w:rPr>
          <w:rFonts w:ascii="Cambria Math" w:hAnsi="Cambria Math" w:eastAsia="Cambria Math" w:cs="Cambria Math"/>
        </w:rPr>
        <w:t xml:space="preserve">φ</w:t>
      </w:r>
      <w:r>
        <w:rPr>
          <w:rFonts w:ascii="Cambria Math" w:hAnsi="Cambria Math" w:eastAsia="Cambria Math" w:cs="Cambria Math"/>
          <w:vertAlign w:val="subscript"/>
        </w:rPr>
        <w:t xml:space="preserve">int</w:t>
      </w:r>
      <w:r>
        <w:t xml:space="preserve"> = 55 %.</w:t>
      </w:r>
    </w:p>
    <w:p>
      <w:pPr>
        <w:pStyle w:val="CadEENormalText"/>
      </w:pPr>
      <w:r>
        <w:t xml:space="preserve">- для зовнішнього повітря (січень): </w:t>
      </w:r>
      <w:r>
        <w:rPr>
          <w:rFonts w:ascii="Cambria Math" w:hAnsi="Cambria Math" w:eastAsia="Cambria Math" w:cs="Cambria Math"/>
        </w:rPr>
        <w:t xml:space="preserve">θ</w:t>
      </w:r>
      <w:r>
        <w:rPr>
          <w:rFonts w:ascii="Cambria Math" w:hAnsi="Cambria Math" w:eastAsia="Cambria Math" w:cs="Cambria Math"/>
          <w:vertAlign w:val="subscript"/>
        </w:rPr>
        <w:t xml:space="preserve">ext</w:t>
      </w:r>
      <w:r>
        <w:t xml:space="preserve"> = -4 °C, </w:t>
      </w:r>
      <w:r>
        <w:rPr>
          <w:rFonts w:ascii="Cambria Math" w:hAnsi="Cambria Math" w:eastAsia="Cambria Math" w:cs="Cambria Math"/>
        </w:rPr>
        <w:t xml:space="preserve">φ</w:t>
      </w:r>
      <w:r>
        <w:rPr>
          <w:rFonts w:ascii="Cambria Math" w:hAnsi="Cambria Math" w:eastAsia="Cambria Math" w:cs="Cambria Math"/>
          <w:vertAlign w:val="subscript"/>
        </w:rPr>
        <w:t xml:space="preserve">ext</w:t>
      </w:r>
      <w:r>
        <w:t xml:space="preserve"> = 84 %.</w:t>
      </w:r>
    </w:p>
    <w:p>
      <w:pPr>
        <w:pStyle w:val="CadEENormalText"/>
      </w:pPr>
      <w:r>
        <w:t xml:space="preserve">Згідно з п. Б.1.2.3 та таблицею Б.1 за температурою відповідного повітря визначаємо </w:t>
      </w:r>
      <w:r>
        <w:rPr>
          <w:rFonts w:ascii="Cambria Math" w:hAnsi="Cambria Math" w:eastAsia="Cambria Math" w:cs="Cambria Math"/>
        </w:rPr>
        <w:t xml:space="preserve">E</w:t>
      </w:r>
      <w:r>
        <w:rPr>
          <w:rFonts w:ascii="Cambria Math" w:hAnsi="Cambria Math" w:eastAsia="Cambria Math" w:cs="Cambria Math"/>
          <w:vertAlign w:val="subscript"/>
        </w:rPr>
        <w:t xml:space="preserve">в</w:t>
      </w:r>
      <w:r>
        <w:t xml:space="preserve"> та </w:t>
      </w:r>
      <w:r>
        <w:rPr>
          <w:rFonts w:ascii="Cambria Math" w:hAnsi="Cambria Math" w:eastAsia="Cambria Math" w:cs="Cambria Math"/>
        </w:rPr>
        <w:t xml:space="preserve">E</w:t>
      </w:r>
      <w:r>
        <w:rPr>
          <w:rFonts w:ascii="Cambria Math" w:hAnsi="Cambria Math" w:eastAsia="Cambria Math" w:cs="Cambria Math"/>
          <w:vertAlign w:val="subscript"/>
        </w:rPr>
        <w:t xml:space="preserve">з</w:t>
      </w:r>
      <w:r>
        <w:t xml:space="preserve"> — парціальні тиски насиченої водяної пари; відносну вологість використовуємо далі для визначення фактичних тисків e за формулами (6) та (7):</w:t>
      </w:r>
    </w:p>
    <w:p>
      <w:pPr>
        <w:pStyle w:val="CadEEEquationStyle"/>
      </w:pPr>
      <m:oMathPara>
        <m:oMath>
          <m:sSub>
            <m:e>
              <m:r>
                <m:rPr>
                  <m:sty m:val="i"/>
                </m:rPr>
                <m:t>E</m:t>
              </m:r>
            </m:e>
            <m:sub>
              <m:r>
                <m:t>в</m:t>
              </m:r>
            </m:sub>
          </m:sSub>
          <m:r>
            <m:t>=</m:t>
          </m:r>
          <m:r>
            <m:t>2340</m:t>
          </m:r>
          <m:r>
            <m:t>Па</m:t>
          </m:r>
        </m:oMath>
      </m:oMathPara>
    </w:p>
    <w:p>
      <w:pPr>
        <w:pStyle w:val="CadEEEquationStyle"/>
      </w:pPr>
      <m:oMathPara>
        <m:oMath>
          <m:sSub>
            <m:e>
              <m:r>
                <m:rPr>
                  <m:sty m:val="i"/>
                </m:rPr>
                <m:t>E</m:t>
              </m:r>
            </m:e>
            <m:sub>
              <m:r>
                <m:t>з</m:t>
              </m:r>
            </m:sub>
          </m:sSub>
          <m:r>
            <m:t>=</m:t>
          </m:r>
          <m:r>
            <m:t>437</m:t>
          </m:r>
          <m:r>
            <m:t>Па</m:t>
          </m:r>
        </m:oMath>
      </m:oMathPara>
    </w:p>
    <w:p>
      <w:pPr>
        <w:pStyle w:val="CadEENormalText"/>
        <w:numPr>
          <w:ilvl w:val="3"/>
          <w:numId w:val="1"/>
        </w:numPr>
      </w:pPr>
      <w:bookmarkStart w:id="73" w:name="CadEE_Target_73"/>
      <w:r>
        <w:t xml:space="preserve">Визначимо парціальний тиск  водяної пари згідно з формулами (6) та (7) ДСТУ Б В.2.6-192:2013:</w:t>
      </w:r>
      <w:bookmarkEnd w:id="7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e</m:t>
                    </m:r>
                  </m:e>
                  <m:sub>
                    <m:r>
                      <m:t>в</m:t>
                    </m:r>
                  </m:sub>
                </m:sSub>
                <m:r>
                  <m:t>=</m:t>
                </m:r>
                <m:r>
                  <m:t>0.01</m:t>
                </m:r>
                <m:sSub>
                  <m:e>
                    <m:r>
                      <m:t>φ</m:t>
                    </m:r>
                  </m:e>
                  <m:sub>
                    <m:r>
                      <m:rPr>
                        <m:sty m:val="i"/>
                      </m:rPr>
                      <m:t>int</m:t>
                    </m:r>
                  </m:sub>
                </m:sSub>
                <m:sSub>
                  <m:e>
                    <m:r>
                      <m:rPr>
                        <m:sty m:val="i"/>
                      </m:rPr>
                      <m:t>E</m:t>
                    </m:r>
                  </m:e>
                  <m:sub>
                    <m:r>
                      <m:t>в</m:t>
                    </m:r>
                  </m:sub>
                </m:sSub>
                <m:r>
                  <m:t>=</m:t>
                </m:r>
                <m:r>
                  <m:t>55</m:t>
                </m:r>
                <m:r>
                  <m:t>·</m:t>
                </m:r>
                <m:r>
                  <m:t>2340</m:t>
                </m:r>
                <m:r>
                  <m:t>·</m:t>
                </m:r>
                <m:r>
                  <m:t>0.01</m:t>
                </m:r>
                <m:r>
                  <m:t>=</m:t>
                </m:r>
                <m:r>
                  <m:t>1287</m:t>
                </m:r>
                <m:r>
                  <m:t xml:space="preserve"> </m:t>
                </m:r>
                <m:r>
                  <m:t>Па</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4" w:name="CadEE_Target_74"/>
            <w:r>
              <w:fldChar w:fldCharType="begin"/>
            </w:r>
            <w:r>
              <w:instrText xml:space="preserve"> SEQ CadEE_Formula \* ARABIC </w:instrText>
            </w:r>
            <w:r>
              <w:fldChar w:fldCharType="separate"/>
            </w:r>
            <w:r>
              <w:t xml:space="preserve">22</w:t>
            </w:r>
            <w:r>
              <w:fldChar w:fldCharType="end"/>
            </w:r>
            <w:bookmarkEnd w:id="74"/>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int</w:t>
      </w:r>
      <w:r>
        <w:t xml:space="preserve"> - відносна вологість внутрішнього повітря,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E</w:t>
      </w:r>
      <w:r>
        <w:rPr>
          <w:rFonts w:ascii="Cambria Math" w:hAnsi="Cambria Math" w:eastAsia="Cambria Math" w:cs="Cambria Math"/>
          <w:vertAlign w:val="subscript"/>
        </w:rPr>
        <w:t xml:space="preserve">в</w:t>
      </w:r>
      <w:r>
        <w:t xml:space="preserve"> - тиск насиченої водяної пари з внутрішнього боку конструкції,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e</m:t>
                    </m:r>
                  </m:e>
                  <m:sub>
                    <m:r>
                      <m:t>з</m:t>
                    </m:r>
                  </m:sub>
                </m:sSub>
                <m:r>
                  <m:t>=</m:t>
                </m:r>
                <m:r>
                  <m:t>0.01</m:t>
                </m:r>
                <m:sSub>
                  <m:e>
                    <m:r>
                      <m:t>φ</m:t>
                    </m:r>
                  </m:e>
                  <m:sub>
                    <m:r>
                      <m:rPr>
                        <m:sty m:val="i"/>
                      </m:rPr>
                      <m:t>ext</m:t>
                    </m:r>
                  </m:sub>
                </m:sSub>
                <m:sSub>
                  <m:e>
                    <m:r>
                      <m:rPr>
                        <m:sty m:val="i"/>
                      </m:rPr>
                      <m:t>E</m:t>
                    </m:r>
                  </m:e>
                  <m:sub>
                    <m:r>
                      <m:t>з</m:t>
                    </m:r>
                  </m:sub>
                </m:sSub>
                <m:r>
                  <m:t>=</m:t>
                </m:r>
                <m:r>
                  <m:t>84</m:t>
                </m:r>
                <m:r>
                  <m:t>·</m:t>
                </m:r>
                <m:r>
                  <m:t>437</m:t>
                </m:r>
                <m:r>
                  <m:t>·</m:t>
                </m:r>
                <m:r>
                  <m:t>0.01</m:t>
                </m:r>
                <m:r>
                  <m:t>=</m:t>
                </m:r>
                <m:r>
                  <m:t>367.08</m:t>
                </m:r>
                <m:r>
                  <m:t xml:space="preserve"> </m:t>
                </m:r>
                <m:r>
                  <m:t>Па</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5" w:name="CadEE_Target_75"/>
            <w:r>
              <w:fldChar w:fldCharType="begin"/>
            </w:r>
            <w:r>
              <w:instrText xml:space="preserve"> SEQ CadEE_Formula \* ARABIC </w:instrText>
            </w:r>
            <w:r>
              <w:fldChar w:fldCharType="separate"/>
            </w:r>
            <w:r>
              <w:t xml:space="preserve">23</w:t>
            </w:r>
            <w:r>
              <w:fldChar w:fldCharType="end"/>
            </w:r>
            <w:bookmarkEnd w:id="75"/>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ext</w:t>
      </w:r>
      <w:r>
        <w:t xml:space="preserve"> - відносна вологість зовнішнього повітря,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E</w:t>
      </w:r>
      <w:r>
        <w:rPr>
          <w:rFonts w:ascii="Cambria Math" w:hAnsi="Cambria Math" w:eastAsia="Cambria Math" w:cs="Cambria Math"/>
          <w:vertAlign w:val="subscript"/>
        </w:rPr>
        <w:t xml:space="preserve">з</w:t>
      </w:r>
      <w:r>
        <w:t xml:space="preserve"> - тиск насиченої водяної пари із зовнішнього боку конструкції,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3"/>
          <w:numId w:val="1"/>
        </w:numPr>
      </w:pPr>
      <w:bookmarkStart w:id="76" w:name="CadEE_Target_76"/>
      <w:r>
        <w:t xml:space="preserve">Визначимо парціальний тиск насиченої водяної пари в товщині конструкції з розрахунку 11 точок на 1°С перепаду температур (п. 4.2.4.7 ДСТУ Б В.2.6-192:2013).</w:t>
      </w:r>
      <w:bookmarkEnd w:id="76"/>
    </w:p>
    <w:p>
      <w:pPr>
        <w:jc w:val="center"/>
      </w:pPr>
      <w:r>
        <w:rPr/>
        <w:drawing>
          <wp:inline distT="0" distB="0" distL="0" distR="0">
            <wp:extent cx="5400000" cy="2700000"/>
            <wp:docPr id="3" name="Image3"/>
            <a:graphic xmlns:a="http://schemas.openxmlformats.org/drawingml/2006/main">
              <a:graphicData uri="http://schemas.openxmlformats.org/drawingml/2006/picture">
                <pic:pic xmlns:pic="http://schemas.openxmlformats.org/drawingml/2006/picture">
                  <pic:nvPicPr>
                    <pic:cNvPr id="3" name="Image3"/>
                    <pic:cNvPicPr/>
                  </pic:nvPicPr>
                  <pic:blipFill>
                    <a:blip xmlns:r="http://schemas.openxmlformats.org/officeDocument/2006/relationships" r:embed="rId6"/>
                    <a:stretch>
                      <a:fillRect/>
                    </a:stretch>
                  </pic:blipFill>
                  <pic:spPr>
                    <a:xfrm>
                      <a:off x="0" y="0"/>
                      <a:ext cx="5400000" cy="2700000"/>
                    </a:xfrm>
                    <a:prstGeom prst="rect">
                      <a:avLst/>
                    </a:prstGeom>
                  </pic:spPr>
                </pic:pic>
              </a:graphicData>
            </a:graphic>
          </wp:inline>
        </w:drawing>
      </w:r>
    </w:p>
    <w:p>
      <w:pPr>
        <w:pStyle w:val="CadEEFigureCaption"/>
      </w:pPr>
      <w:r>
        <w:t xml:space="preserve">Рисунок </w:t>
      </w:r>
      <w:bookmarkStart w:id="77" w:name="CadEE_Target_77"/>
      <w:r>
        <w:fldChar w:fldCharType="begin"/>
      </w:r>
      <w:r>
        <w:instrText xml:space="preserve"> SEQ CadEE_Figure \* ARABIC </w:instrText>
      </w:r>
      <w:r>
        <w:fldChar w:fldCharType="separate"/>
      </w:r>
      <w:r>
        <w:t xml:space="preserve">1.3</w:t>
      </w:r>
      <w:r>
        <w:fldChar w:fldCharType="end"/>
      </w:r>
      <w:bookmarkEnd w:id="77"/>
      <w:r>
        <w:t xml:space="preserve">. Розподіл парціальних тисків у товщині огороджуючої конструкції (січень). На графіку лінія сіра  - розподіл температури (t), синя - графік розподілу парціального тиску насиченої водою пари (Е), червона - допоміжна лінія для оцінки наявності конденсації  пари (e), зелена - допоміжна лінія для оцінки кількості вологи що надходить/випаровується з конструкції.</w:t>
      </w:r>
    </w:p>
    <w:p>
      <w:pPr>
        <w:pStyle w:val="CadEENormalText"/>
      </w:pPr>
      <w:r>
        <w:t xml:space="preserve">Оскільки лінії E та e не перетинаються то згідно з п.4.2.5 та п.4.3.3 ДСТУ Б В.2.6-192:2013, конденсація водяної пари в товщині конструкції не відбувається.</w:t>
      </w:r>
    </w:p>
    <w:p>
      <w:pPr>
        <w:pStyle w:val="CadEENormalText"/>
      </w:pPr>
      <w:r>
        <w:t xml:space="preserve">Оскільки конденсації у січні не відбувається то згідно з п.4.2.5 та п.4.3.3 ДСТУ Б В.2.6-192:2013, то умови (1) та (2) ДСТУ Б В.2.6-192:2013 вважаємо виконаними.</w:t>
      </w:r>
    </w:p>
    <w:p>
      <w:pPr>
        <w:pStyle w:val="CadEEHeadingLevel2"/>
        <w:numPr>
          <w:ilvl w:val="1"/>
          <w:numId w:val="1"/>
        </w:numPr>
      </w:pPr>
      <w:bookmarkStart w:id="78" w:name="CadEE_Target_78"/>
      <w:r>
        <w:t xml:space="preserve">Розрахунок масової повітрепроникності огороджувальної конструкції. стіна №1. </w:t>
      </w:r>
      <w:bookmarkEnd w:id="78"/>
    </w:p>
    <w:p>
      <w:pPr>
        <w:pStyle w:val="CadEENormalText"/>
      </w:pPr>
      <w:r>
        <w:t xml:space="preserve">Розрахунок масової повітрепроникності виконуємо згідно з вимогами ДСТУ-Н Б В.2.6-191:2013.</w:t>
      </w:r>
    </w:p>
    <w:p>
      <w:pPr>
        <w:pStyle w:val="CadEENormalText"/>
        <w:numPr>
          <w:ilvl w:val="2"/>
          <w:numId w:val="1"/>
        </w:numPr>
      </w:pPr>
      <w:bookmarkStart w:id="79" w:name="CadEE_Target_79"/>
      <w:r>
        <w:t xml:space="preserve">Вихідні дані</w:t>
      </w:r>
      <w:bookmarkEnd w:id="7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r>
                  <m:rPr>
                    <m:sty m:val="i"/>
                  </m:rPr>
                  <m:t>H</m:t>
                </m:r>
                <m:r>
                  <m:t>=</m:t>
                </m:r>
                <m:r>
                  <m:t>10</m:t>
                </m:r>
                <m:r>
                  <m:t>м</m:t>
                </m:r>
                <m:r>
                  <m:t xml:space="preserve"> </m:t>
                </m:r>
                <m:sSub>
                  <m:e>
                    <m:r>
                      <m:rPr>
                        <m:sty m:val="i"/>
                      </m:rPr>
                      <m:t>h</m:t>
                    </m:r>
                  </m:e>
                  <m:sub>
                    <m:r>
                      <m:rPr>
                        <m:sty m:val="i"/>
                      </m:rPr>
                      <m:t>i</m:t>
                    </m:r>
                  </m:sub>
                </m:sSub>
                <m:r>
                  <m:t>=</m:t>
                </m:r>
                <m:r>
                  <m:t>3</m:t>
                </m:r>
                <m:r>
                  <m:t>м</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0" w:name="CadEE_Target_80"/>
            <w:r>
              <w:fldChar w:fldCharType="begin"/>
            </w:r>
            <w:r>
              <w:instrText xml:space="preserve"> SEQ CadEE_Formula \* ARABIC </w:instrText>
            </w:r>
            <w:r>
              <w:fldChar w:fldCharType="separate"/>
            </w:r>
            <w:r>
              <w:t xml:space="preserve">24</w:t>
            </w:r>
            <w:r>
              <w:fldChar w:fldCharType="end"/>
            </w:r>
            <w:bookmarkEnd w:id="80"/>
            <w:r>
              <w:t>)</w:t>
            </w:r>
          </w:p>
        </w:tc>
      </w:tr>
    </w:tbl>
    <w:p>
      <w:pPr>
        <w:pStyle w:val="CadEENormalText"/>
        <w:numPr>
          <w:ilvl w:val="2"/>
          <w:numId w:val="1"/>
        </w:numPr>
      </w:pPr>
      <w:bookmarkStart w:id="81" w:name="CadEE_Target_81"/>
      <w:r>
        <w:t xml:space="preserve">Визначаємо питому вагу зовнішнього повітря γ_з згідно з ДСТУ-Н Б В.2.6-191:2013, п. 5.1, формула (4).</w:t>
      </w:r>
      <w:bookmarkEnd w:id="8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γ</m:t>
                    </m:r>
                  </m:e>
                  <m:sub>
                    <m:r>
                      <m:t>з</m:t>
                    </m:r>
                  </m:sub>
                </m:sSub>
                <m:r>
                  <m:t>=</m:t>
                </m:r>
                <m:f>
                  <m:num>
                    <m:r>
                      <m:t>3463</m:t>
                    </m:r>
                  </m:num>
                  <m:den>
                    <m:d>
                      <m:dPr>
                        <m:begChr m:val="("/>
                        <m:endChr m:val=")"/>
                      </m:dPr>
                      <m:e>
                        <m:r>
                          <m:t>273</m:t>
                        </m:r>
                        <m:r>
                          <m:t>+</m:t>
                        </m:r>
                        <m:sSub>
                          <m:e>
                            <m:r>
                              <m:rPr>
                                <m:sty m:val="i"/>
                              </m:rPr>
                              <m:t>t</m:t>
                            </m:r>
                          </m:e>
                          <m:sub>
                            <m:r>
                              <m:t>з</m:t>
                            </m:r>
                          </m:sub>
                        </m:sSub>
                      </m:e>
                    </m:d>
                  </m:den>
                </m:f>
                <m:r>
                  <m:t>=</m:t>
                </m:r>
                <m:f>
                  <m:num>
                    <m:r>
                      <m:t>3463</m:t>
                    </m:r>
                  </m:num>
                  <m:den>
                    <m:d>
                      <m:dPr>
                        <m:begChr m:val="("/>
                        <m:endChr m:val=")"/>
                      </m:dPr>
                      <m:e>
                        <m:r>
                          <m:t>273</m:t>
                        </m:r>
                        <m:r>
                          <m:t>+</m:t>
                        </m:r>
                        <m:r>
                          <m:t>−</m:t>
                        </m:r>
                        <m:r>
                          <m:t>22</m:t>
                        </m:r>
                      </m:e>
                    </m:d>
                  </m:den>
                </m:f>
                <m:r>
                  <m:t>=</m:t>
                </m:r>
                <m:r>
                  <m:t>13.797</m:t>
                </m:r>
                <m:r>
                  <m:t xml:space="preserve"> </m:t>
                </m:r>
                <m:f>
                  <m:num>
                    <m:r>
                      <m:t>Н</m:t>
                    </m:r>
                  </m:num>
                  <m:den>
                    <m:sSup>
                      <m:e>
                        <m:r>
                          <m:t>м</m:t>
                        </m:r>
                      </m:e>
                      <m:sup>
                        <m:r>
                          <m:t>3</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2" w:name="CadEE_Target_82"/>
            <w:r>
              <w:fldChar w:fldCharType="begin"/>
            </w:r>
            <w:r>
              <w:instrText xml:space="preserve"> SEQ CadEE_Formula \* ARABIC </w:instrText>
            </w:r>
            <w:r>
              <w:fldChar w:fldCharType="separate"/>
            </w:r>
            <w:r>
              <w:t xml:space="preserve">25</w:t>
            </w:r>
            <w:r>
              <w:fldChar w:fldCharType="end"/>
            </w:r>
            <w:bookmarkEnd w:id="82"/>
            <w:r>
              <w:t>)</w:t>
            </w:r>
          </w:p>
        </w:tc>
      </w:tr>
    </w:tbl>
    <w:p>
      <w:pPr>
        <w:pStyle w:val="CadEENormalText"/>
      </w:pPr>
      <w:r>
        <w:t xml:space="preserve">де </w:t>
      </w:r>
      <w:r>
        <w:rPr>
          <w:rFonts w:ascii="Cambria Math" w:hAnsi="Cambria Math" w:eastAsia="Cambria Math" w:cs="Cambria Math"/>
        </w:rPr>
        <w:t xml:space="preserve">t</w:t>
      </w:r>
      <w:r>
        <w:rPr>
          <w:rFonts w:ascii="Cambria Math" w:hAnsi="Cambria Math" w:eastAsia="Cambria Math" w:cs="Cambria Math"/>
          <w:vertAlign w:val="subscript"/>
        </w:rPr>
        <w:t xml:space="preserve">з</w:t>
      </w:r>
      <w:r>
        <w:t xml:space="preserve"> - температура зовнішнього повітря,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83" w:name="CadEE_Target_83"/>
      <w:r>
        <w:t xml:space="preserve">Визначаємо питому вагу внутрішнього повітря γ_в згідно з ДСТУ-Н Б В.2.6-191:2013, п. 5.1, формула (5).</w:t>
      </w:r>
      <w:bookmarkEnd w:id="8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γ</m:t>
                    </m:r>
                  </m:e>
                  <m:sub>
                    <m:r>
                      <m:t>в</m:t>
                    </m:r>
                  </m:sub>
                </m:sSub>
                <m:r>
                  <m:t>=</m:t>
                </m:r>
                <m:f>
                  <m:num>
                    <m:r>
                      <m:t>3463</m:t>
                    </m:r>
                  </m:num>
                  <m:den>
                    <m:d>
                      <m:dPr>
                        <m:begChr m:val="("/>
                        <m:endChr m:val=")"/>
                      </m:dPr>
                      <m:e>
                        <m:r>
                          <m:t>273</m:t>
                        </m:r>
                        <m:r>
                          <m:t>+</m:t>
                        </m:r>
                        <m:sSub>
                          <m:e>
                            <m:r>
                              <m:rPr>
                                <m:sty m:val="i"/>
                              </m:rPr>
                              <m:t>t</m:t>
                            </m:r>
                          </m:e>
                          <m:sub>
                            <m:r>
                              <m:t>в</m:t>
                            </m:r>
                          </m:sub>
                        </m:sSub>
                      </m:e>
                    </m:d>
                  </m:den>
                </m:f>
                <m:r>
                  <m:t>=</m:t>
                </m:r>
                <m:f>
                  <m:num>
                    <m:r>
                      <m:t>3463</m:t>
                    </m:r>
                  </m:num>
                  <m:den>
                    <m:d>
                      <m:dPr>
                        <m:begChr m:val="("/>
                        <m:endChr m:val=")"/>
                      </m:dPr>
                      <m:e>
                        <m:r>
                          <m:t>273</m:t>
                        </m:r>
                        <m:r>
                          <m:t>+</m:t>
                        </m:r>
                        <m:r>
                          <m:t>20</m:t>
                        </m:r>
                      </m:e>
                    </m:d>
                  </m:den>
                </m:f>
                <m:r>
                  <m:t>=</m:t>
                </m:r>
                <m:r>
                  <m:t>11.819</m:t>
                </m:r>
                <m:r>
                  <m:t xml:space="preserve"> </m:t>
                </m:r>
                <m:f>
                  <m:num>
                    <m:r>
                      <m:t>Н</m:t>
                    </m:r>
                  </m:num>
                  <m:den>
                    <m:sSup>
                      <m:e>
                        <m:r>
                          <m:t>м</m:t>
                        </m:r>
                      </m:e>
                      <m:sup>
                        <m:r>
                          <m:t>3</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4" w:name="CadEE_Target_84"/>
            <w:r>
              <w:fldChar w:fldCharType="begin"/>
            </w:r>
            <w:r>
              <w:instrText xml:space="preserve"> SEQ CadEE_Formula \* ARABIC </w:instrText>
            </w:r>
            <w:r>
              <w:fldChar w:fldCharType="separate"/>
            </w:r>
            <w:r>
              <w:t xml:space="preserve">26</w:t>
            </w:r>
            <w:r>
              <w:fldChar w:fldCharType="end"/>
            </w:r>
            <w:bookmarkEnd w:id="84"/>
            <w:r>
              <w:t>)</w:t>
            </w:r>
          </w:p>
        </w:tc>
      </w:tr>
    </w:tbl>
    <w:p>
      <w:pPr>
        <w:pStyle w:val="CadEENormalText"/>
      </w:pPr>
      <w:r>
        <w:t xml:space="preserve">де </w:t>
      </w:r>
      <w:r>
        <w:rPr>
          <w:rFonts w:ascii="Cambria Math" w:hAnsi="Cambria Math" w:eastAsia="Cambria Math" w:cs="Cambria Math"/>
        </w:rPr>
        <w:t xml:space="preserve">t</w:t>
      </w:r>
      <w:r>
        <w:rPr>
          <w:rFonts w:ascii="Cambria Math" w:hAnsi="Cambria Math" w:eastAsia="Cambria Math" w:cs="Cambria Math"/>
          <w:vertAlign w:val="subscript"/>
        </w:rPr>
        <w:t xml:space="preserve">в</w:t>
      </w:r>
      <w:r>
        <w:t xml:space="preserve"> - температура внутрішнього повітря,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85" w:name="CadEE_Target_85"/>
      <w:r>
        <w:t xml:space="preserve">Коефіцієнт β_v приймаємо згідно з ДСТУ-Н Б В.2.6-191:2013, п. 5.1, таблиця 2, як для місцевості типу Б при висоті будівлі H=10.00 м.  Тип місцевості Б прийнято для міських територій, лісових масивів та інших місцевостей, рівномірно вкритих перешкодами заввишки понад 10 м.</w:t>
      </w:r>
      <w:bookmarkEnd w:id="8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β</m:t>
                    </m:r>
                  </m:e>
                  <m:sub>
                    <m:r>
                      <m:rPr>
                        <m:sty m:val="i"/>
                      </m:rPr>
                      <m:t>v</m:t>
                    </m:r>
                  </m:sub>
                </m:sSub>
                <m:r>
                  <m:t>=</m:t>
                </m:r>
                <m:r>
                  <m:t>0.65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6" w:name="CadEE_Target_86"/>
            <w:r>
              <w:fldChar w:fldCharType="begin"/>
            </w:r>
            <w:r>
              <w:instrText xml:space="preserve"> SEQ CadEE_Formula \* ARABIC </w:instrText>
            </w:r>
            <w:r>
              <w:fldChar w:fldCharType="separate"/>
            </w:r>
            <w:r>
              <w:t xml:space="preserve">27</w:t>
            </w:r>
            <w:r>
              <w:fldChar w:fldCharType="end"/>
            </w:r>
            <w:bookmarkEnd w:id="86"/>
            <w:r>
              <w:t>)</w:t>
            </w:r>
          </w:p>
        </w:tc>
      </w:tr>
    </w:tbl>
    <w:p>
      <w:pPr>
        <w:pStyle w:val="CadEENormalText"/>
        <w:numPr>
          <w:ilvl w:val="2"/>
          <w:numId w:val="1"/>
        </w:numPr>
      </w:pPr>
      <w:bookmarkStart w:id="87" w:name="CadEE_Target_87"/>
      <w:r>
        <w:t xml:space="preserve">Максимальну із середніх швидкостей вітру v приймаємо згідно з ДСТУ-Н Б В.2.6-191:2013, п. 5.1, до формули (3), за даними таблиці 6 ДСТУ-Н Б В.1.1-27. Для м. Львів повторюваність 16 % і більше мають напрями: захід, північний захід. Найбільша середня швидкість серед цих напрямів відповідає напрямку/напрямкам захід, північний захід і становить 4.20 м/с.</w:t>
      </w:r>
      <w:bookmarkEnd w:id="8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r>
                  <m:rPr>
                    <m:sty m:val="i"/>
                  </m:rPr>
                  <m:t>v</m:t>
                </m:r>
                <m:r>
                  <m:t>=</m:t>
                </m:r>
                <m:r>
                  <m:t>4.2</m:t>
                </m:r>
                <m:f>
                  <m:num>
                    <m:r>
                      <m:t>м</m:t>
                    </m:r>
                  </m:num>
                  <m:den>
                    <m:r>
                      <m:t>с</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8" w:name="CadEE_Target_88"/>
            <w:r>
              <w:fldChar w:fldCharType="begin"/>
            </w:r>
            <w:r>
              <w:instrText xml:space="preserve"> SEQ CadEE_Formula \* ARABIC </w:instrText>
            </w:r>
            <w:r>
              <w:fldChar w:fldCharType="separate"/>
            </w:r>
            <w:r>
              <w:t xml:space="preserve">28</w:t>
            </w:r>
            <w:r>
              <w:fldChar w:fldCharType="end"/>
            </w:r>
            <w:bookmarkEnd w:id="88"/>
            <w:r>
              <w:t>)</w:t>
            </w:r>
          </w:p>
        </w:tc>
      </w:tr>
    </w:tbl>
    <w:p>
      <w:pPr>
        <w:pStyle w:val="CadEENormalText"/>
        <w:numPr>
          <w:ilvl w:val="2"/>
          <w:numId w:val="1"/>
        </w:numPr>
      </w:pPr>
      <w:bookmarkStart w:id="89" w:name="CadEE_Target_89"/>
      <w:r>
        <w:t xml:space="preserve">Розрахункову різницю тисків повітря на зовнішній та внутрішній поверхнях огороджувальної конструкції визначаємо згідно з ДСТУ-Н Б В.2.6-191:2013, п. 5.1, формула (3).</w:t>
      </w:r>
      <w:bookmarkEnd w:id="8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r>
                  <m:t>Δp</m:t>
                </m:r>
                <m:r>
                  <m:t>=</m:t>
                </m:r>
                <m:d>
                  <m:dPr>
                    <m:begChr m:val="("/>
                    <m:endChr m:val=")"/>
                  </m:dPr>
                  <m:e>
                    <m:r>
                      <m:rPr>
                        <m:sty m:val="i"/>
                      </m:rPr>
                      <m:t>H</m:t>
                    </m:r>
                    <m:r>
                      <m:t>−</m:t>
                    </m:r>
                    <m:sSub>
                      <m:e>
                        <m:r>
                          <m:rPr>
                            <m:sty m:val="i"/>
                          </m:rPr>
                          <m:t>h</m:t>
                        </m:r>
                      </m:e>
                      <m:sub>
                        <m:r>
                          <m:rPr>
                            <m:sty m:val="i"/>
                          </m:rPr>
                          <m:t>i</m:t>
                        </m:r>
                      </m:sub>
                    </m:sSub>
                  </m:e>
                </m:d>
                <m:d>
                  <m:dPr>
                    <m:begChr m:val="("/>
                    <m:endChr m:val=")"/>
                  </m:dPr>
                  <m:e>
                    <m:sSub>
                      <m:e>
                        <m:r>
                          <m:t>γ</m:t>
                        </m:r>
                      </m:e>
                      <m:sub>
                        <m:r>
                          <m:t>з</m:t>
                        </m:r>
                      </m:sub>
                    </m:sSub>
                    <m:r>
                      <m:t>−</m:t>
                    </m:r>
                    <m:sSub>
                      <m:e>
                        <m:r>
                          <m:t>γ</m:t>
                        </m:r>
                      </m:e>
                      <m:sub>
                        <m:r>
                          <m:t>в</m:t>
                        </m:r>
                      </m:sub>
                    </m:sSub>
                  </m:e>
                </m:d>
                <m:r>
                  <m:t>+</m:t>
                </m:r>
                <m:r>
                  <m:t>0.03</m:t>
                </m:r>
                <m:sSub>
                  <m:e>
                    <m:r>
                      <m:t>γ</m:t>
                    </m:r>
                  </m:e>
                  <m:sub>
                    <m:r>
                      <m:t>з</m:t>
                    </m:r>
                  </m:sub>
                </m:sSub>
                <m:sSup>
                  <m:e>
                    <m:r>
                      <m:rPr>
                        <m:sty m:val="i"/>
                      </m:rPr>
                      <m:t>v</m:t>
                    </m:r>
                  </m:e>
                  <m:sup>
                    <m:r>
                      <m:t>2</m:t>
                    </m:r>
                  </m:sup>
                </m:sSup>
                <m:sSub>
                  <m:e>
                    <m:r>
                      <m:t>β</m:t>
                    </m:r>
                  </m:e>
                  <m:sub>
                    <m:r>
                      <m:rPr>
                        <m:sty m:val="i"/>
                      </m:rPr>
                      <m:t>v</m:t>
                    </m:r>
                  </m:sub>
                </m:sSub>
                <m:r>
                  <m:t>=</m:t>
                </m:r>
                <m:d>
                  <m:dPr>
                    <m:begChr m:val="("/>
                    <m:endChr m:val=")"/>
                  </m:dPr>
                  <m:e>
                    <m:r>
                      <m:t>10</m:t>
                    </m:r>
                    <m:r>
                      <m:t>−</m:t>
                    </m:r>
                    <m:r>
                      <m:t>3</m:t>
                    </m:r>
                  </m:e>
                </m:d>
                <m:r>
                  <m:t>·</m:t>
                </m:r>
                <m:d>
                  <m:dPr>
                    <m:begChr m:val="("/>
                    <m:endChr m:val=")"/>
                  </m:dPr>
                  <m:e>
                    <m:r>
                      <m:t>13.797</m:t>
                    </m:r>
                    <m:r>
                      <m:t>−</m:t>
                    </m:r>
                    <m:r>
                      <m:t>11.819</m:t>
                    </m:r>
                  </m:e>
                </m:d>
                <m:r>
                  <m:t>+</m:t>
                </m:r>
                <m:r>
                  <m:t>0.03</m:t>
                </m:r>
                <m:r>
                  <m:t>·</m:t>
                </m:r>
                <m:r>
                  <m:t>13.797</m:t>
                </m:r>
                <m:r>
                  <m:t>·</m:t>
                </m:r>
                <m:sSup>
                  <m:e>
                    <m:r>
                      <m:t>4.2</m:t>
                    </m:r>
                  </m:e>
                  <m:sup>
                    <m:r>
                      <m:t>2</m:t>
                    </m:r>
                  </m:sup>
                </m:sSup>
                <m:r>
                  <m:t>·</m:t>
                </m:r>
                <m:r>
                  <m:t>0.65</m:t>
                </m:r>
                <m:r>
                  <m:t>=</m:t>
                </m:r>
                <m:r>
                  <m:t>18.59</m:t>
                </m:r>
                <m:r>
                  <m:t xml:space="preserve"> </m:t>
                </m:r>
                <m:r>
                  <m:t>Па</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0" w:name="CadEE_Target_90"/>
            <w:r>
              <w:fldChar w:fldCharType="begin"/>
            </w:r>
            <w:r>
              <w:instrText xml:space="preserve"> SEQ CadEE_Formula \* ARABIC </w:instrText>
            </w:r>
            <w:r>
              <w:fldChar w:fldCharType="separate"/>
            </w:r>
            <w:r>
              <w:t xml:space="preserve">29</w:t>
            </w:r>
            <w:r>
              <w:fldChar w:fldCharType="end"/>
            </w:r>
            <w:bookmarkEnd w:id="90"/>
            <w:r>
              <w:t>)</w:t>
            </w:r>
          </w:p>
        </w:tc>
      </w:tr>
    </w:tbl>
    <w:p>
      <w:pPr>
        <w:pStyle w:val="CadEENormalText"/>
      </w:pPr>
      <w:r>
        <w:t xml:space="preserve">де </w:t>
      </w:r>
      <w:r>
        <w:rPr>
          <w:rFonts w:ascii="Cambria Math" w:hAnsi="Cambria Math" w:eastAsia="Cambria Math" w:cs="Cambria Math"/>
        </w:rPr>
        <w:t xml:space="preserve">H</w:t>
      </w:r>
      <w:r>
        <w:t xml:space="preserve"> - висота будівлі для розрахунку повітропроникності,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i</w:t>
      </w:r>
      <w:r>
        <w:t xml:space="preserve"> - висота верхньої межі елемента огороджувальної конструкції,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γ</w:t>
      </w:r>
      <w:r>
        <w:rPr>
          <w:rFonts w:ascii="Cambria Math" w:hAnsi="Cambria Math" w:eastAsia="Cambria Math" w:cs="Cambria Math"/>
          <w:vertAlign w:val="subscript"/>
        </w:rPr>
        <w:t xml:space="preserve">з</w:t>
      </w:r>
      <w:r>
        <w:t xml:space="preserve"> - питома вага зовнішнього повітря, див. п. </w:t>
      </w:r>
      <w:r>
        <w:fldChar w:fldCharType="begin"/>
      </w:r>
      <w:r>
        <w:instrText xml:space="preserve"> REF CadEE_Target_81 \n \h </w:instrText>
      </w:r>
      <w:r>
        <w:fldChar w:fldCharType="separate"/>
      </w:r>
      <w:r>
        <w:t xml:space="preserve">1.3.2</w:t>
      </w:r>
      <w:r>
        <w:fldChar w:fldCharType="end"/>
      </w:r>
      <w:r>
        <w:t xml:space="preserve">; </w:t>
      </w:r>
      <w:r>
        <w:rPr>
          <w:rFonts w:ascii="Cambria Math" w:hAnsi="Cambria Math" w:eastAsia="Cambria Math" w:cs="Cambria Math"/>
        </w:rPr>
        <w:t xml:space="preserve">γ</w:t>
      </w:r>
      <w:r>
        <w:rPr>
          <w:rFonts w:ascii="Cambria Math" w:hAnsi="Cambria Math" w:eastAsia="Cambria Math" w:cs="Cambria Math"/>
          <w:vertAlign w:val="subscript"/>
        </w:rPr>
        <w:t xml:space="preserve">в</w:t>
      </w:r>
      <w:r>
        <w:t xml:space="preserve"> - питома вага внутрішнього повітря, див. п. </w:t>
      </w:r>
      <w:r>
        <w:fldChar w:fldCharType="begin"/>
      </w:r>
      <w:r>
        <w:instrText xml:space="preserve"> REF CadEE_Target_83 \n \h </w:instrText>
      </w:r>
      <w:r>
        <w:fldChar w:fldCharType="separate"/>
      </w:r>
      <w:r>
        <w:t xml:space="preserve">1.3.3</w:t>
      </w:r>
      <w:r>
        <w:fldChar w:fldCharType="end"/>
      </w:r>
      <w:r>
        <w:t xml:space="preserve">; </w:t>
      </w:r>
      <w:r>
        <w:rPr>
          <w:rFonts w:ascii="Cambria Math" w:hAnsi="Cambria Math" w:eastAsia="Cambria Math" w:cs="Cambria Math"/>
        </w:rPr>
        <w:t xml:space="preserve">v</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β</w:t>
      </w:r>
      <w:r>
        <w:rPr>
          <w:rFonts w:ascii="Cambria Math" w:hAnsi="Cambria Math" w:eastAsia="Cambria Math" w:cs="Cambria Math"/>
          <w:vertAlign w:val="subscript"/>
        </w:rPr>
        <w:t xml:space="preserve">v</w:t>
      </w:r>
      <w:r>
        <w:t xml:space="preserve"> - коефіцієнт вітрового тиску для огороджувальної конструкції,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91" w:name="CadEE_Target_91"/>
      <w:r>
        <w:t xml:space="preserve">Конструкція містить термічні включення, тому визначаємо унікальні варіанти конструкції перпендикулярними перерізами та обчислюємо загальну повітропроникність за ДСТУ-Н Б В.2.6-191:2013, п. 5.3.</w:t>
      </w:r>
      <w:bookmarkEnd w:id="9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r>
                  <m:rPr>
                    <m:sty m:val="i"/>
                  </m:rPr>
                  <m:t>W</m:t>
                </m:r>
                <m:r>
                  <m:t>=</m:t>
                </m:r>
                <m:r>
                  <m:t>0.8</m:t>
                </m:r>
                <m:r>
                  <m:t>м</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2" w:name="CadEE_Target_92"/>
            <w:r>
              <w:fldChar w:fldCharType="begin"/>
            </w:r>
            <w:r>
              <w:instrText xml:space="preserve"> SEQ CadEE_Formula \* ARABIC </w:instrText>
            </w:r>
            <w:r>
              <w:fldChar w:fldCharType="separate"/>
            </w:r>
            <w:r>
              <w:t xml:space="preserve">30</w:t>
            </w:r>
            <w:r>
              <w:fldChar w:fldCharType="end"/>
            </w:r>
            <w:bookmarkEnd w:id="92"/>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r>
                  <m:rPr>
                    <m:sty m:val="i"/>
                  </m:rPr>
                  <m:t>F</m:t>
                </m:r>
                <m:r>
                  <m:t>=</m:t>
                </m:r>
                <m:r>
                  <m:t>1</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3" w:name="CadEE_Target_93"/>
            <w:r>
              <w:fldChar w:fldCharType="begin"/>
            </w:r>
            <w:r>
              <w:instrText xml:space="preserve"> SEQ CadEE_Formula \* ARABIC </w:instrText>
            </w:r>
            <w:r>
              <w:fldChar w:fldCharType="separate"/>
            </w:r>
            <w:r>
              <w:t xml:space="preserve">31</w:t>
            </w:r>
            <w:r>
              <w:fldChar w:fldCharType="end"/>
            </w:r>
            <w:bookmarkEnd w:id="93"/>
            <w:r>
              <w:t>)</w:t>
            </w:r>
          </w:p>
        </w:tc>
      </w:tr>
    </w:tbl>
    <w:p>
      <w:pPr>
        <w:pStyle w:val="CadEETableCaption"/>
      </w:pPr>
      <w:r>
        <w:t xml:space="preserve">Таблиця №</w:t>
      </w:r>
      <w:bookmarkStart w:id="94" w:name="CadEE_Target_94"/>
      <w:r>
        <w:fldChar w:fldCharType="begin"/>
      </w:r>
      <w:r>
        <w:instrText xml:space="preserve"> SEQ CadEE_Table \* ARABIC </w:instrText>
      </w:r>
      <w:r>
        <w:fldChar w:fldCharType="separate"/>
      </w:r>
      <w:r>
        <w:t xml:space="preserve">1.5</w:t>
      </w:r>
      <w:r>
        <w:fldChar w:fldCharType="end"/>
      </w:r>
      <w:bookmarkEnd w:id="94"/>
      <w:r>
        <w:t xml:space="preserve">. Унікальні варіанти конструкції для розрахунку повітропроникності</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600"/>
        <w:gridCol w:w="1442"/>
        <w:gridCol w:w="1442"/>
        <w:gridCol w:w="1442"/>
        <w:gridCol w:w="5408"/>
      </w:tblGrid>
      <w:tr>
        <w:trPr>
          <w:tblHeader/>
        </w:trPr>
        <w:tc>
          <w:tcPr>
            <w:tcW w:w="600" w:type="dxa"/>
            <w:vAlign w:val="center"/>
            <w:tcMar>
              <w:top w:w="60" w:type="dxa"/>
              <w:left w:w="70" w:type="dxa"/>
              <w:bottom w:w="60" w:type="dxa"/>
              <w:right w:w="70" w:type="dxa"/>
            </w:tcMar>
            <w:tcBorders>
              <w:bottom w:val="nil"/>
            </w:tcBorders>
            <w:shd w:val="clear" w:color="auto" w:fill="EDEDED"/>
          </w:tcPr>
          <w:p>
            <w:pPr>
              <w:pStyle w:val="CadEETableHeadStyle"/>
            </w:pPr>
            <w:r>
              <w:rPr>
                <w:b/>
              </w:rPr>
              <w:t>№</w:t>
            </w:r>
          </w:p>
        </w:tc>
        <w:tc>
          <w:tcPr>
            <w:tcW w:w="1442" w:type="dxa"/>
            <w:vAlign w:val="center"/>
            <w:tcMar>
              <w:top w:w="60" w:type="dxa"/>
              <w:left w:w="70" w:type="dxa"/>
              <w:bottom w:w="60" w:type="dxa"/>
              <w:right w:w="70" w:type="dxa"/>
            </w:tcMar>
            <w:tcBorders>
              <w:bottom w:val="nil"/>
            </w:tcBorders>
            <w:shd w:val="clear" w:color="auto" w:fill="EDEDED"/>
          </w:tcPr>
          <w:p>
            <w:pPr>
              <w:pStyle w:val="CadEETableHeadStyle"/>
            </w:pPr>
            <w:r>
              <w:rPr>
                <w:b/>
              </w:rPr>
              <w:t>Ширина b_i,</w:t>
            </w:r>
          </w:p>
        </w:tc>
        <w:tc>
          <w:tcPr>
            <w:tcW w:w="1442" w:type="dxa"/>
            <w:vAlign w:val="center"/>
            <w:tcMar>
              <w:top w:w="60" w:type="dxa"/>
              <w:left w:w="70" w:type="dxa"/>
              <w:bottom w:w="60" w:type="dxa"/>
              <w:right w:w="70" w:type="dxa"/>
            </w:tcMar>
            <w:tcBorders>
              <w:bottom w:val="nil"/>
            </w:tcBorders>
            <w:shd w:val="clear" w:color="auto" w:fill="EDEDED"/>
          </w:tcPr>
          <w:p>
            <w:pPr>
              <w:pStyle w:val="CadEETableHeadStyle"/>
            </w:pPr>
            <w:r>
              <w:rPr>
                <w:b/>
              </w:rPr>
              <w:t>Частка b_i/W</w:t>
            </w:r>
          </w:p>
        </w:tc>
        <w:tc>
          <w:tcPr>
            <w:tcW w:w="1442" w:type="dxa"/>
            <w:vAlign w:val="center"/>
            <w:tcMar>
              <w:top w:w="60" w:type="dxa"/>
              <w:left w:w="70" w:type="dxa"/>
              <w:bottom w:w="60" w:type="dxa"/>
              <w:right w:w="70" w:type="dxa"/>
            </w:tcMar>
            <w:tcBorders>
              <w:bottom w:val="nil"/>
            </w:tcBorders>
            <w:shd w:val="clear" w:color="auto" w:fill="EDEDED"/>
          </w:tcPr>
          <w:p>
            <w:pPr>
              <w:pStyle w:val="CadEETableHeadStyle"/>
            </w:pPr>
            <w:r>
              <w:rPr>
                <w:b/>
              </w:rPr>
              <w:t>Площа F_i,</w:t>
            </w:r>
          </w:p>
        </w:tc>
        <w:tc>
          <w:tcPr>
            <w:tcW w:w="5408" w:type="dxa"/>
            <w:vAlign w:val="center"/>
            <w:tcMar>
              <w:top w:w="60" w:type="dxa"/>
              <w:left w:w="70" w:type="dxa"/>
              <w:bottom w:w="60" w:type="dxa"/>
              <w:right w:w="70" w:type="dxa"/>
            </w:tcMar>
            <w:tcBorders>
              <w:bottom w:val="nil"/>
            </w:tcBorders>
            <w:shd w:val="clear" w:color="auto" w:fill="EDEDED"/>
          </w:tcPr>
          <w:p>
            <w:pPr>
              <w:pStyle w:val="CadEETableHeadStyle"/>
            </w:pPr>
            <w:r>
              <w:rPr>
                <w:b/>
              </w:rPr>
              <w:t>Склад варіанта</w:t>
            </w:r>
          </w:p>
        </w:tc>
      </w:tr>
      <w:tr>
        <w:trPr>
          <w:tblHeader/>
        </w:trPr>
        <w:tc>
          <w:tcPr>
            <w:tcW w:w="600"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1442" w:type="dxa"/>
            <w:vAlign w:val="center"/>
            <w:tcMar>
              <w:top w:w="60" w:type="dxa"/>
              <w:left w:w="70" w:type="dxa"/>
              <w:bottom w:w="60" w:type="dxa"/>
              <w:right w:w="70" w:type="dxa"/>
            </w:tcMar>
            <w:tcBorders>
              <w:top w:val="nil"/>
            </w:tcBorders>
            <w:shd w:val="clear" w:color="auto" w:fill="EDEDED"/>
          </w:tcPr>
          <w:p>
            <w:pPr>
              <w:pStyle w:val="CadEETableHeadStyle"/>
            </w:pPr>
            <w:r>
              <w:rPr>
                <w:b/>
              </w:rPr>
              <w:t>м</w:t>
            </w:r>
          </w:p>
        </w:tc>
        <w:tc>
          <w:tcPr>
            <w:tcW w:w="1442"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1442" w:type="dxa"/>
            <w:vAlign w:val="center"/>
            <w:tcMar>
              <w:top w:w="60" w:type="dxa"/>
              <w:left w:w="70" w:type="dxa"/>
              <w:bottom w:w="60" w:type="dxa"/>
              <w:right w:w="70" w:type="dxa"/>
            </w:tcMar>
            <w:tcBorders>
              <w:top w:val="nil"/>
            </w:tcBorders>
            <w:shd w:val="clear" w:color="auto" w:fill="EDEDED"/>
          </w:tcPr>
          <w:p>
            <w:pPr>
              <w:pStyle w:val="CadEETableHeadStyle"/>
            </w:pPr>
            <w:r>
              <w:rPr>
                <w:b/>
              </w:rPr>
              <w:t>м^2</w:t>
            </w:r>
          </w:p>
        </w:tc>
        <w:tc>
          <w:tcPr>
            <w:tcW w:w="5408"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r>
      <w:tr>
        <w:tc>
          <w:tcPr>
            <w:tcW w:w="600" w:type="dxa"/>
            <w:vAlign w:val="center"/>
            <w:tcMar>
              <w:top w:w="60" w:type="dxa"/>
              <w:left w:w="70" w:type="dxa"/>
              <w:bottom w:w="60" w:type="dxa"/>
              <w:right w:w="70" w:type="dxa"/>
            </w:tcMar>
          </w:tcPr>
          <w:p>
            <w:pPr>
              <w:pStyle w:val="CadEETableStyle"/>
            </w:pPr>
            <w:r>
              <w:t>1</w:t>
            </w:r>
          </w:p>
        </w:tc>
        <w:tc>
          <w:tcPr>
            <w:tcW w:w="1442" w:type="dxa"/>
            <w:vAlign w:val="center"/>
            <w:tcMar>
              <w:top w:w="60" w:type="dxa"/>
              <w:left w:w="70" w:type="dxa"/>
              <w:bottom w:w="60" w:type="dxa"/>
              <w:right w:w="70" w:type="dxa"/>
            </w:tcMar>
          </w:tcPr>
          <w:p>
            <w:pPr>
              <w:pStyle w:val="CadEETableStyle"/>
            </w:pPr>
            <w:r>
              <w:t>0.2</w:t>
            </w:r>
          </w:p>
        </w:tc>
        <w:tc>
          <w:tcPr>
            <w:tcW w:w="1442" w:type="dxa"/>
            <w:vAlign w:val="center"/>
            <w:tcMar>
              <w:top w:w="60" w:type="dxa"/>
              <w:left w:w="70" w:type="dxa"/>
              <w:bottom w:w="60" w:type="dxa"/>
              <w:right w:w="70" w:type="dxa"/>
            </w:tcMar>
          </w:tcPr>
          <w:p>
            <w:pPr>
              <w:pStyle w:val="CadEETableStyle"/>
            </w:pPr>
            <w:r>
              <w:t>0.25</w:t>
            </w:r>
          </w:p>
        </w:tc>
        <w:tc>
          <w:tcPr>
            <w:tcW w:w="1442" w:type="dxa"/>
            <w:vAlign w:val="center"/>
            <w:tcMar>
              <w:top w:w="60" w:type="dxa"/>
              <w:left w:w="70" w:type="dxa"/>
              <w:bottom w:w="60" w:type="dxa"/>
              <w:right w:w="70" w:type="dxa"/>
            </w:tcMar>
          </w:tcPr>
          <w:p>
            <w:pPr>
              <w:pStyle w:val="CadEETableStyle"/>
            </w:pPr>
            <w:r>
              <w:t>0.25</w:t>
            </w:r>
          </w:p>
        </w:tc>
        <w:tc>
          <w:tcPr>
            <w:tcW w:w="5408" w:type="dxa"/>
            <w:vAlign w:val="center"/>
            <w:tcMar>
              <w:top w:w="60" w:type="dxa"/>
              <w:left w:w="70" w:type="dxa"/>
              <w:bottom w:w="60" w:type="dxa"/>
              <w:right w:w="70" w:type="dxa"/>
            </w:tcMar>
          </w:tcPr>
          <w:p>
            <w:pPr>
              <w:pStyle w:val="CadEETableStyle"/>
            </w:pPr>
            <w:r>
              <w:t>Мінеральна вата (базальтове волокно) ρ=30 кг/м3, 0.05 м (включення); Спінений пінополістирол ρ=15 кг/м3, 0.05 м</w:t>
            </w:r>
          </w:p>
        </w:tc>
      </w:tr>
      <w:tr>
        <w:tc>
          <w:tcPr>
            <w:tcW w:w="600" w:type="dxa"/>
            <w:vAlign w:val="center"/>
            <w:tcMar>
              <w:top w:w="60" w:type="dxa"/>
              <w:left w:w="70" w:type="dxa"/>
              <w:bottom w:w="60" w:type="dxa"/>
              <w:right w:w="70" w:type="dxa"/>
            </w:tcMar>
          </w:tcPr>
          <w:p>
            <w:pPr>
              <w:pStyle w:val="CadEETableStyle"/>
            </w:pPr>
            <w:r>
              <w:t>2</w:t>
            </w:r>
          </w:p>
        </w:tc>
        <w:tc>
          <w:tcPr>
            <w:tcW w:w="1442" w:type="dxa"/>
            <w:vAlign w:val="center"/>
            <w:tcMar>
              <w:top w:w="60" w:type="dxa"/>
              <w:left w:w="70" w:type="dxa"/>
              <w:bottom w:w="60" w:type="dxa"/>
              <w:right w:w="70" w:type="dxa"/>
            </w:tcMar>
          </w:tcPr>
          <w:p>
            <w:pPr>
              <w:pStyle w:val="CadEETableStyle"/>
            </w:pPr>
            <w:r>
              <w:t>0.6</w:t>
            </w:r>
          </w:p>
        </w:tc>
        <w:tc>
          <w:tcPr>
            <w:tcW w:w="1442" w:type="dxa"/>
            <w:vAlign w:val="center"/>
            <w:tcMar>
              <w:top w:w="60" w:type="dxa"/>
              <w:left w:w="70" w:type="dxa"/>
              <w:bottom w:w="60" w:type="dxa"/>
              <w:right w:w="70" w:type="dxa"/>
            </w:tcMar>
          </w:tcPr>
          <w:p>
            <w:pPr>
              <w:pStyle w:val="CadEETableStyle"/>
            </w:pPr>
            <w:r>
              <w:t>0.75</w:t>
            </w:r>
          </w:p>
        </w:tc>
        <w:tc>
          <w:tcPr>
            <w:tcW w:w="1442" w:type="dxa"/>
            <w:vAlign w:val="center"/>
            <w:tcMar>
              <w:top w:w="60" w:type="dxa"/>
              <w:left w:w="70" w:type="dxa"/>
              <w:bottom w:w="60" w:type="dxa"/>
              <w:right w:w="70" w:type="dxa"/>
            </w:tcMar>
          </w:tcPr>
          <w:p>
            <w:pPr>
              <w:pStyle w:val="CadEETableStyle"/>
            </w:pPr>
            <w:r>
              <w:t>0.75</w:t>
            </w:r>
          </w:p>
        </w:tc>
        <w:tc>
          <w:tcPr>
            <w:tcW w:w="5408" w:type="dxa"/>
            <w:vAlign w:val="center"/>
            <w:tcMar>
              <w:top w:w="60" w:type="dxa"/>
              <w:left w:w="70" w:type="dxa"/>
              <w:bottom w:w="60" w:type="dxa"/>
              <w:right w:w="70" w:type="dxa"/>
            </w:tcMar>
          </w:tcPr>
          <w:p>
            <w:pPr>
              <w:pStyle w:val="CadEETableStyle"/>
            </w:pPr>
            <w:r>
              <w:t>Спінений пінополістирол ρ=15 кг/м3, 0.05 м; Спінений пінополістирол ρ=15 кг/м3, 0.05 м</w:t>
            </w:r>
          </w:p>
        </w:tc>
      </w:tr>
    </w:tbl>
    <w:p>
      <w:pPr>
        <w:spacing w:before="0" w:after="0" w:line="80" w:lineRule="exact"/>
      </w:pPr>
    </w:p>
    <w:p>
      <w:pPr>
        <w:pStyle w:val="CadEENormalText"/>
        <w:numPr>
          <w:ilvl w:val="3"/>
          <w:numId w:val="1"/>
        </w:numPr>
      </w:pPr>
      <w:bookmarkStart w:id="95" w:name="CadEE_Target_95"/>
      <w:r>
        <w:t xml:space="preserve">Визначимо характеристики кожного шару конструкції</w:t>
      </w:r>
      <w:bookmarkEnd w:id="95"/>
    </w:p>
    <w:p>
      <w:pPr>
        <w:pStyle w:val="CadEENormalText"/>
        <w:numPr>
          <w:ilvl w:val="4"/>
          <w:numId w:val="1"/>
        </w:numPr>
      </w:pPr>
      <w:bookmarkStart w:id="96" w:name="CadEE_Target_96"/>
      <w:r>
        <w:t xml:space="preserve">Для варіанта 1, шар 1 "Мінеральна вата (базальтове волокно) ρ=30 кг/м3" значення базової різниці тисків Δp0_1_1, повітропроникності при базовій різниці тисків G_1_1_Δp0 та показника степеня n_1_1 приймаємо згідно з ДСТУ-Н Б В.2.6-191:2013, п. 5.1, таблиця 3, як для матеріалу "Плити мінераловатні, γ = 80 кг/м^3" при товщині шару 0.05 м.</w:t>
      </w:r>
      <w:bookmarkEnd w:id="9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Δp</m:t>
                            </m:r>
                          </m:e>
                          <m:sub>
                            <m:r>
                              <m:t>0</m:t>
                            </m:r>
                          </m:sub>
                        </m:sSub>
                      </m:e>
                      <m:sub>
                        <m:r>
                          <m:t>1</m:t>
                        </m:r>
                      </m:sub>
                    </m:sSub>
                  </m:e>
                  <m:sub>
                    <m:r>
                      <m:t>1</m:t>
                    </m:r>
                  </m:sub>
                </m:sSub>
                <m:r>
                  <m:t>=</m:t>
                </m:r>
                <m:r>
                  <m:t>10</m:t>
                </m:r>
                <m:r>
                  <m:t>Па</m:t>
                </m:r>
                <m:r>
                  <m:t xml:space="preserve"> </m:t>
                </m:r>
                <m:sSub>
                  <m:e>
                    <m:sSub>
                      <m:e>
                        <m:sSub>
                          <m:e>
                            <m:r>
                              <m:rPr>
                                <m:sty m:val="i"/>
                              </m:rPr>
                              <m:t>G</m:t>
                            </m:r>
                          </m:e>
                          <m:sub>
                            <m:r>
                              <m:t>1</m:t>
                            </m:r>
                          </m:sub>
                        </m:sSub>
                      </m:e>
                      <m:sub>
                        <m:r>
                          <m:t>1</m:t>
                        </m:r>
                      </m:sub>
                    </m:sSub>
                  </m:e>
                  <m:sub>
                    <m:sSub>
                      <m:e>
                        <m:r>
                          <m:t>Δp</m:t>
                        </m:r>
                      </m:e>
                      <m:sub>
                        <m:r>
                          <m:t>0</m:t>
                        </m:r>
                      </m:sub>
                    </m:sSub>
                  </m:sub>
                </m:sSub>
                <m:r>
                  <m:t>=</m:t>
                </m:r>
                <m:r>
                  <m:t>22.4</m:t>
                </m:r>
                <m:f>
                  <m:num>
                    <m:r>
                      <m:t>кг</m:t>
                    </m:r>
                  </m:num>
                  <m:den>
                    <m:sSup>
                      <m:e>
                        <m:r>
                          <m:t>м</m:t>
                        </m:r>
                      </m:e>
                      <m:sup>
                        <m:r>
                          <m:t>2</m:t>
                        </m:r>
                      </m:sup>
                    </m:sSup>
                    <m:r>
                      <m:t>·</m:t>
                    </m:r>
                    <m:r>
                      <m:t>год</m:t>
                    </m:r>
                  </m:den>
                </m:f>
                <m:r>
                  <m:t xml:space="preserve"> </m:t>
                </m:r>
                <m:sSub>
                  <m:e>
                    <m:sSub>
                      <m:e>
                        <m:r>
                          <m:rPr>
                            <m:sty m:val="i"/>
                          </m:rPr>
                          <m:t>n</m:t>
                        </m:r>
                      </m:e>
                      <m:sub>
                        <m:r>
                          <m:t>1</m:t>
                        </m:r>
                      </m:sub>
                    </m:sSub>
                  </m:e>
                  <m:sub>
                    <m:r>
                      <m:t>1</m:t>
                    </m:r>
                  </m:sub>
                </m:sSub>
                <m:r>
                  <m:t>=</m:t>
                </m:r>
                <m:r>
                  <m:t>1.5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7" w:name="CadEE_Target_97"/>
            <w:r>
              <w:fldChar w:fldCharType="begin"/>
            </w:r>
            <w:r>
              <w:instrText xml:space="preserve"> SEQ CadEE_Formula \* ARABIC </w:instrText>
            </w:r>
            <w:r>
              <w:fldChar w:fldCharType="separate"/>
            </w:r>
            <w:r>
              <w:t xml:space="preserve">32</w:t>
            </w:r>
            <w:r>
              <w:fldChar w:fldCharType="end"/>
            </w:r>
            <w:bookmarkEnd w:id="97"/>
            <w:r>
              <w:t>)</w:t>
            </w:r>
          </w:p>
        </w:tc>
      </w:tr>
    </w:tbl>
    <w:p>
      <w:pPr>
        <w:pStyle w:val="CadEENormalText"/>
        <w:numPr>
          <w:ilvl w:val="4"/>
          <w:numId w:val="1"/>
        </w:numPr>
      </w:pPr>
      <w:bookmarkStart w:id="98" w:name="CadEE_Target_98"/>
      <w:r>
        <w:t xml:space="preserve">Повітропроникність варіанта 1, шар 1 перераховуємо до розрахункової різниці тисків Δp згідно з ДСТУ-Н Б В.2.6-191:2013, п. 5.1, формула (2).</w:t>
      </w:r>
      <w:bookmarkEnd w:id="9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G</m:t>
                            </m:r>
                          </m:e>
                          <m:sub>
                            <m:r>
                              <m:t>1</m:t>
                            </m:r>
                          </m:sub>
                        </m:sSub>
                      </m:e>
                      <m:sub>
                        <m:r>
                          <m:t>1</m:t>
                        </m:r>
                      </m:sub>
                    </m:sSub>
                  </m:e>
                  <m:sub>
                    <m:r>
                      <m:t>Δp</m:t>
                    </m:r>
                  </m:sub>
                </m:sSub>
                <m:r>
                  <m:t>=</m:t>
                </m:r>
                <m:sSub>
                  <m:e>
                    <m:sSub>
                      <m:e>
                        <m:sSub>
                          <m:e>
                            <m:r>
                              <m:rPr>
                                <m:sty m:val="i"/>
                              </m:rPr>
                              <m:t>G</m:t>
                            </m:r>
                          </m:e>
                          <m:sub>
                            <m:r>
                              <m:t>1</m:t>
                            </m:r>
                          </m:sub>
                        </m:sSub>
                      </m:e>
                      <m:sub>
                        <m:r>
                          <m:t>1</m:t>
                        </m:r>
                      </m:sub>
                    </m:sSub>
                  </m:e>
                  <m:sub>
                    <m:sSub>
                      <m:e>
                        <m:r>
                          <m:t>Δp</m:t>
                        </m:r>
                      </m:e>
                      <m:sub>
                        <m:r>
                          <m:t>0</m:t>
                        </m:r>
                      </m:sub>
                    </m:sSub>
                  </m:sub>
                </m:sSub>
                <m:sSup>
                  <m:e>
                    <m:f>
                      <m:num>
                        <m:r>
                          <m:t>Δp</m:t>
                        </m:r>
                      </m:num>
                      <m:den>
                        <m:sSub>
                          <m:e>
                            <m:sSub>
                              <m:e>
                                <m:sSub>
                                  <m:e>
                                    <m:r>
                                      <m:t>Δp</m:t>
                                    </m:r>
                                  </m:e>
                                  <m:sub>
                                    <m:r>
                                      <m:t>0</m:t>
                                    </m:r>
                                  </m:sub>
                                </m:sSub>
                              </m:e>
                              <m:sub>
                                <m:r>
                                  <m:t>1</m:t>
                                </m:r>
                              </m:sub>
                            </m:sSub>
                          </m:e>
                          <m:sub>
                            <m:r>
                              <m:t>1</m:t>
                            </m:r>
                          </m:sub>
                        </m:sSub>
                      </m:den>
                    </m:f>
                  </m:e>
                  <m:sup>
                    <m:sSub>
                      <m:e>
                        <m:sSub>
                          <m:e>
                            <m:r>
                              <m:rPr>
                                <m:sty m:val="i"/>
                              </m:rPr>
                              <m:t>n</m:t>
                            </m:r>
                          </m:e>
                          <m:sub>
                            <m:r>
                              <m:t>1</m:t>
                            </m:r>
                          </m:sub>
                        </m:sSub>
                      </m:e>
                      <m:sub>
                        <m:r>
                          <m:t>1</m:t>
                        </m:r>
                      </m:sub>
                    </m:sSub>
                  </m:sup>
                </m:sSup>
                <m:r>
                  <m:t>=</m:t>
                </m:r>
                <m:r>
                  <m:t>22.4</m:t>
                </m:r>
                <m:r>
                  <m:t>·</m:t>
                </m:r>
                <m:sSup>
                  <m:e>
                    <m:f>
                      <m:num>
                        <m:r>
                          <m:t>18.59</m:t>
                        </m:r>
                      </m:num>
                      <m:den>
                        <m:r>
                          <m:t>10</m:t>
                        </m:r>
                      </m:den>
                    </m:f>
                  </m:e>
                  <m:sup>
                    <m:r>
                      <m:t>1.5</m:t>
                    </m:r>
                  </m:sup>
                </m:sSup>
                <m:r>
                  <m:t>=</m:t>
                </m:r>
                <m:r>
                  <m:t>56.775</m:t>
                </m:r>
                <m:r>
                  <m:t xml:space="preserve"> </m:t>
                </m:r>
                <m:f>
                  <m:num>
                    <m:r>
                      <m:t>кг</m:t>
                    </m:r>
                  </m:num>
                  <m:den>
                    <m:sSup>
                      <m:e>
                        <m:r>
                          <m:t>м</m:t>
                        </m:r>
                      </m:e>
                      <m:sup>
                        <m:r>
                          <m:t>2</m:t>
                        </m:r>
                      </m:sup>
                    </m:sSup>
                    <m:r>
                      <m:t>·</m:t>
                    </m:r>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9" w:name="CadEE_Target_99"/>
            <w:r>
              <w:fldChar w:fldCharType="begin"/>
            </w:r>
            <w:r>
              <w:instrText xml:space="preserve"> SEQ CadEE_Formula \* ARABIC </w:instrText>
            </w:r>
            <w:r>
              <w:fldChar w:fldCharType="separate"/>
            </w:r>
            <w:r>
              <w:t xml:space="preserve">33</w:t>
            </w:r>
            <w:r>
              <w:fldChar w:fldCharType="end"/>
            </w:r>
            <w:bookmarkEnd w:id="99"/>
            <w:r>
              <w:t>)</w:t>
            </w:r>
          </w:p>
        </w:tc>
      </w:tr>
    </w:tbl>
    <w:p>
      <w:pPr>
        <w:pStyle w:val="CadEENormalText"/>
      </w:pPr>
      <w:r>
        <w:t xml:space="preserve">де </w:t>
      </w:r>
      <w:r>
        <w:rPr>
          <w:rFonts w:ascii="Cambria Math" w:hAnsi="Cambria Math" w:eastAsia="Cambria Math" w:cs="Cambria Math"/>
        </w:rPr>
        <w:t xml:space="preserve">G</w:t>
      </w:r>
      <w:r>
        <w:rPr>
          <w:rFonts w:ascii="Cambria Math" w:hAnsi="Cambria Math" w:eastAsia="Cambria Math" w:cs="Cambria Math"/>
          <w:vertAlign w:val="subscript"/>
        </w:rPr>
        <w:t xml:space="preserve">1 1 Δp0</w:t>
      </w:r>
      <w:r>
        <w:t xml:space="preserve">, </w:t>
      </w:r>
      <w:r>
        <w:rPr>
          <w:rFonts w:ascii="Cambria Math" w:hAnsi="Cambria Math" w:eastAsia="Cambria Math" w:cs="Cambria Math"/>
        </w:rPr>
        <w:t xml:space="preserve">Δp0</w:t>
      </w:r>
      <w:r>
        <w:rPr>
          <w:rFonts w:ascii="Cambria Math" w:hAnsi="Cambria Math" w:eastAsia="Cambria Math" w:cs="Cambria Math"/>
          <w:vertAlign w:val="subscript"/>
        </w:rPr>
        <w:t xml:space="preserve">1 1</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1 1</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Δp</w:t>
      </w:r>
      <w:r>
        <w:t xml:space="preserve"> - розрахункова різниця тисків на поверхнях огороджувальної конструкції, див. п. </w:t>
      </w:r>
      <w:r>
        <w:fldChar w:fldCharType="begin"/>
      </w:r>
      <w:r>
        <w:instrText xml:space="preserve"> REF CadEE_Target_89 \n \h </w:instrText>
      </w:r>
      <w:r>
        <w:fldChar w:fldCharType="separate"/>
      </w:r>
      <w:r>
        <w:t xml:space="preserve">1.3.6</w:t>
      </w:r>
      <w:r>
        <w:fldChar w:fldCharType="end"/>
      </w:r>
      <w:r>
        <w:t xml:space="preserve">.</w:t>
      </w:r>
    </w:p>
    <w:p>
      <w:pPr>
        <w:pStyle w:val="CadEENormalText"/>
        <w:numPr>
          <w:ilvl w:val="4"/>
          <w:numId w:val="1"/>
        </w:numPr>
      </w:pPr>
      <w:bookmarkStart w:id="100" w:name="CadEE_Target_100"/>
      <w:r>
        <w:t xml:space="preserve">Для варіанта 1, шар 2 "Спінений пінополістирол ρ=15 кг/м3" значення базової різниці тисків Δp0_1_2, повітропроникності при базовій різниці тисків G_1_2_Δp0 та показника степеня n_1_2 приймаємо згідно з ДСТУ-Н Б В.2.6-191:2013, п. 5.1, таблиця 3, як для матеріалу "Пінополістирол (ПСБ)" при товщині шару 0.05 м.</w:t>
      </w:r>
      <w:bookmarkEnd w:id="10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Δp</m:t>
                            </m:r>
                          </m:e>
                          <m:sub>
                            <m:r>
                              <m:t>0</m:t>
                            </m:r>
                          </m:sub>
                        </m:sSub>
                      </m:e>
                      <m:sub>
                        <m:r>
                          <m:t>1</m:t>
                        </m:r>
                      </m:sub>
                    </m:sSub>
                  </m:e>
                  <m:sub>
                    <m:r>
                      <m:t>2</m:t>
                    </m:r>
                  </m:sub>
                </m:sSub>
                <m:r>
                  <m:t>=</m:t>
                </m:r>
                <m:r>
                  <m:t>10</m:t>
                </m:r>
                <m:r>
                  <m:t>Па</m:t>
                </m:r>
                <m:r>
                  <m:t xml:space="preserve"> </m:t>
                </m:r>
                <m:sSub>
                  <m:e>
                    <m:sSub>
                      <m:e>
                        <m:sSub>
                          <m:e>
                            <m:r>
                              <m:rPr>
                                <m:sty m:val="i"/>
                              </m:rPr>
                              <m:t>G</m:t>
                            </m:r>
                          </m:e>
                          <m:sub>
                            <m:r>
                              <m:t>1</m:t>
                            </m:r>
                          </m:sub>
                        </m:sSub>
                      </m:e>
                      <m:sub>
                        <m:r>
                          <m:t>2</m:t>
                        </m:r>
                      </m:sub>
                    </m:sSub>
                  </m:e>
                  <m:sub>
                    <m:sSub>
                      <m:e>
                        <m:r>
                          <m:t>Δp</m:t>
                        </m:r>
                      </m:e>
                      <m:sub>
                        <m:r>
                          <m:t>0</m:t>
                        </m:r>
                      </m:sub>
                    </m:sSub>
                  </m:sub>
                </m:sSub>
                <m:r>
                  <m:t>=</m:t>
                </m:r>
                <m:r>
                  <m:t>0.127</m:t>
                </m:r>
                <m:f>
                  <m:num>
                    <m:r>
                      <m:t>кг</m:t>
                    </m:r>
                  </m:num>
                  <m:den>
                    <m:sSup>
                      <m:e>
                        <m:r>
                          <m:t>м</m:t>
                        </m:r>
                      </m:e>
                      <m:sup>
                        <m:r>
                          <m:t>2</m:t>
                        </m:r>
                      </m:sup>
                    </m:sSup>
                    <m:r>
                      <m:t>·</m:t>
                    </m:r>
                    <m:r>
                      <m:t>год</m:t>
                    </m:r>
                  </m:den>
                </m:f>
                <m:r>
                  <m:t xml:space="preserve"> </m:t>
                </m:r>
                <m:sSub>
                  <m:e>
                    <m:sSub>
                      <m:e>
                        <m:r>
                          <m:rPr>
                            <m:sty m:val="i"/>
                          </m:rPr>
                          <m:t>n</m:t>
                        </m:r>
                      </m:e>
                      <m:sub>
                        <m:r>
                          <m:t>1</m:t>
                        </m:r>
                      </m:sub>
                    </m:sSub>
                  </m:e>
                  <m:sub>
                    <m:r>
                      <m:t>2</m:t>
                    </m:r>
                  </m:sub>
                </m:sSub>
                <m:r>
                  <m:t>=</m:t>
                </m:r>
                <m:r>
                  <m:t>0.65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1" w:name="CadEE_Target_101"/>
            <w:r>
              <w:fldChar w:fldCharType="begin"/>
            </w:r>
            <w:r>
              <w:instrText xml:space="preserve"> SEQ CadEE_Formula \* ARABIC </w:instrText>
            </w:r>
            <w:r>
              <w:fldChar w:fldCharType="separate"/>
            </w:r>
            <w:r>
              <w:t xml:space="preserve">34</w:t>
            </w:r>
            <w:r>
              <w:fldChar w:fldCharType="end"/>
            </w:r>
            <w:bookmarkEnd w:id="101"/>
            <w:r>
              <w:t>)</w:t>
            </w:r>
          </w:p>
        </w:tc>
      </w:tr>
    </w:tbl>
    <w:p>
      <w:pPr>
        <w:pStyle w:val="CadEENormalText"/>
        <w:numPr>
          <w:ilvl w:val="4"/>
          <w:numId w:val="1"/>
        </w:numPr>
      </w:pPr>
      <w:bookmarkStart w:id="102" w:name="CadEE_Target_102"/>
      <w:r>
        <w:t xml:space="preserve">Повітропроникність варіанта 1, шар 2 перераховуємо до розрахункової різниці тисків Δp згідно з ДСТУ-Н Б В.2.6-191:2013, п. 5.1, формула (2).</w:t>
      </w:r>
      <w:bookmarkEnd w:id="10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G</m:t>
                            </m:r>
                          </m:e>
                          <m:sub>
                            <m:r>
                              <m:t>1</m:t>
                            </m:r>
                          </m:sub>
                        </m:sSub>
                      </m:e>
                      <m:sub>
                        <m:r>
                          <m:t>2</m:t>
                        </m:r>
                      </m:sub>
                    </m:sSub>
                  </m:e>
                  <m:sub>
                    <m:r>
                      <m:t>Δp</m:t>
                    </m:r>
                  </m:sub>
                </m:sSub>
                <m:r>
                  <m:t>=</m:t>
                </m:r>
                <m:sSub>
                  <m:e>
                    <m:sSub>
                      <m:e>
                        <m:sSub>
                          <m:e>
                            <m:r>
                              <m:rPr>
                                <m:sty m:val="i"/>
                              </m:rPr>
                              <m:t>G</m:t>
                            </m:r>
                          </m:e>
                          <m:sub>
                            <m:r>
                              <m:t>1</m:t>
                            </m:r>
                          </m:sub>
                        </m:sSub>
                      </m:e>
                      <m:sub>
                        <m:r>
                          <m:t>2</m:t>
                        </m:r>
                      </m:sub>
                    </m:sSub>
                  </m:e>
                  <m:sub>
                    <m:sSub>
                      <m:e>
                        <m:r>
                          <m:t>Δp</m:t>
                        </m:r>
                      </m:e>
                      <m:sub>
                        <m:r>
                          <m:t>0</m:t>
                        </m:r>
                      </m:sub>
                    </m:sSub>
                  </m:sub>
                </m:sSub>
                <m:sSup>
                  <m:e>
                    <m:f>
                      <m:num>
                        <m:r>
                          <m:t>Δp</m:t>
                        </m:r>
                      </m:num>
                      <m:den>
                        <m:sSub>
                          <m:e>
                            <m:sSub>
                              <m:e>
                                <m:sSub>
                                  <m:e>
                                    <m:r>
                                      <m:t>Δp</m:t>
                                    </m:r>
                                  </m:e>
                                  <m:sub>
                                    <m:r>
                                      <m:t>0</m:t>
                                    </m:r>
                                  </m:sub>
                                </m:sSub>
                              </m:e>
                              <m:sub>
                                <m:r>
                                  <m:t>1</m:t>
                                </m:r>
                              </m:sub>
                            </m:sSub>
                          </m:e>
                          <m:sub>
                            <m:r>
                              <m:t>2</m:t>
                            </m:r>
                          </m:sub>
                        </m:sSub>
                      </m:den>
                    </m:f>
                  </m:e>
                  <m:sup>
                    <m:sSub>
                      <m:e>
                        <m:sSub>
                          <m:e>
                            <m:r>
                              <m:rPr>
                                <m:sty m:val="i"/>
                              </m:rPr>
                              <m:t>n</m:t>
                            </m:r>
                          </m:e>
                          <m:sub>
                            <m:r>
                              <m:t>1</m:t>
                            </m:r>
                          </m:sub>
                        </m:sSub>
                      </m:e>
                      <m:sub>
                        <m:r>
                          <m:t>2</m:t>
                        </m:r>
                      </m:sub>
                    </m:sSub>
                  </m:sup>
                </m:sSup>
                <m:r>
                  <m:t>=</m:t>
                </m:r>
                <m:r>
                  <m:t>0.127</m:t>
                </m:r>
                <m:r>
                  <m:t>·</m:t>
                </m:r>
                <m:sSup>
                  <m:e>
                    <m:f>
                      <m:num>
                        <m:r>
                          <m:t>18.59</m:t>
                        </m:r>
                      </m:num>
                      <m:den>
                        <m:r>
                          <m:t>10</m:t>
                        </m:r>
                      </m:den>
                    </m:f>
                  </m:e>
                  <m:sup>
                    <m:r>
                      <m:t>0.65</m:t>
                    </m:r>
                  </m:sup>
                </m:sSup>
                <m:r>
                  <m:t>=</m:t>
                </m:r>
                <m:r>
                  <m:t>0.19</m:t>
                </m:r>
                <m:r>
                  <m:t xml:space="preserve"> </m:t>
                </m:r>
                <m:f>
                  <m:num>
                    <m:r>
                      <m:t>кг</m:t>
                    </m:r>
                  </m:num>
                  <m:den>
                    <m:sSup>
                      <m:e>
                        <m:r>
                          <m:t>м</m:t>
                        </m:r>
                      </m:e>
                      <m:sup>
                        <m:r>
                          <m:t>2</m:t>
                        </m:r>
                      </m:sup>
                    </m:sSup>
                    <m:r>
                      <m:t>·</m:t>
                    </m:r>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3" w:name="CadEE_Target_103"/>
            <w:r>
              <w:fldChar w:fldCharType="begin"/>
            </w:r>
            <w:r>
              <w:instrText xml:space="preserve"> SEQ CadEE_Formula \* ARABIC </w:instrText>
            </w:r>
            <w:r>
              <w:fldChar w:fldCharType="separate"/>
            </w:r>
            <w:r>
              <w:t xml:space="preserve">35</w:t>
            </w:r>
            <w:r>
              <w:fldChar w:fldCharType="end"/>
            </w:r>
            <w:bookmarkEnd w:id="103"/>
            <w:r>
              <w:t>)</w:t>
            </w:r>
          </w:p>
        </w:tc>
      </w:tr>
    </w:tbl>
    <w:p>
      <w:pPr>
        <w:pStyle w:val="CadEENormalText"/>
      </w:pPr>
      <w:r>
        <w:t xml:space="preserve">де </w:t>
      </w:r>
      <w:r>
        <w:rPr>
          <w:rFonts w:ascii="Cambria Math" w:hAnsi="Cambria Math" w:eastAsia="Cambria Math" w:cs="Cambria Math"/>
        </w:rPr>
        <w:t xml:space="preserve">G</w:t>
      </w:r>
      <w:r>
        <w:rPr>
          <w:rFonts w:ascii="Cambria Math" w:hAnsi="Cambria Math" w:eastAsia="Cambria Math" w:cs="Cambria Math"/>
          <w:vertAlign w:val="subscript"/>
        </w:rPr>
        <w:t xml:space="preserve">1 2 Δp0</w:t>
      </w:r>
      <w:r>
        <w:t xml:space="preserve">, </w:t>
      </w:r>
      <w:r>
        <w:rPr>
          <w:rFonts w:ascii="Cambria Math" w:hAnsi="Cambria Math" w:eastAsia="Cambria Math" w:cs="Cambria Math"/>
        </w:rPr>
        <w:t xml:space="preserve">Δp0</w:t>
      </w:r>
      <w:r>
        <w:rPr>
          <w:rFonts w:ascii="Cambria Math" w:hAnsi="Cambria Math" w:eastAsia="Cambria Math" w:cs="Cambria Math"/>
          <w:vertAlign w:val="subscript"/>
        </w:rPr>
        <w:t xml:space="preserve">1 2</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1 2</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Δp</w:t>
      </w:r>
      <w:r>
        <w:t xml:space="preserve"> - те саме, що у формулі (</w:t>
      </w:r>
      <w:r>
        <w:fldChar w:fldCharType="begin"/>
      </w:r>
      <w:r>
        <w:instrText xml:space="preserve"> REF CadEE_Target_99 \h </w:instrText>
      </w:r>
      <w:r>
        <w:fldChar w:fldCharType="separate"/>
      </w:r>
      <w:r>
        <w:t xml:space="preserve">33</w:t>
      </w:r>
      <w:r>
        <w:fldChar w:fldCharType="end"/>
      </w:r>
      <w:r>
        <w:t xml:space="preserve">).</w:t>
      </w:r>
    </w:p>
    <w:p>
      <w:pPr>
        <w:pStyle w:val="CadEENormalText"/>
        <w:numPr>
          <w:ilvl w:val="3"/>
          <w:numId w:val="1"/>
        </w:numPr>
      </w:pPr>
      <w:bookmarkStart w:id="104" w:name="CadEE_Target_104"/>
      <w:r>
        <w:t xml:space="preserve">Оскільки конструкція має два або більше увімкнених у розрахунку шарів, її розглядаємо як багатошарову огороджувальну конструкцію з послідовним розміщенням шарів згідно з ДСТУ-Н Б В.2.6-191:2013, п. 4, рисунок 1Б. Повітропроникність такої конструкції визначаємо згідно з п. 5.2, формула (6).</w:t>
      </w:r>
      <w:bookmarkEnd w:id="10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G</m:t>
                        </m:r>
                      </m:e>
                      <m:sub>
                        <m:r>
                          <m:rPr>
                            <m:sty m:val="i"/>
                          </m:rPr>
                          <m:t>k</m:t>
                        </m:r>
                      </m:sub>
                    </m:sSub>
                  </m:e>
                  <m:sub>
                    <m:r>
                      <m:t>1</m:t>
                    </m:r>
                  </m:sub>
                </m:sSub>
                <m:r>
                  <m:t>=</m:t>
                </m:r>
                <m:sSup>
                  <m:e>
                    <m:d>
                      <m:dPr>
                        <m:begChr m:val="("/>
                        <m:endChr m:val=")"/>
                      </m:dPr>
                      <m:e>
                        <m:f>
                          <m:num>
                            <m:r>
                              <m:t>1</m:t>
                            </m:r>
                          </m:num>
                          <m:den>
                            <m:sSub>
                              <m:e>
                                <m:sSub>
                                  <m:e>
                                    <m:sSub>
                                      <m:e>
                                        <m:r>
                                          <m:rPr>
                                            <m:sty m:val="i"/>
                                          </m:rPr>
                                          <m:t>G</m:t>
                                        </m:r>
                                      </m:e>
                                      <m:sub>
                                        <m:r>
                                          <m:t>1</m:t>
                                        </m:r>
                                      </m:sub>
                                    </m:sSub>
                                  </m:e>
                                  <m:sub>
                                    <m:r>
                                      <m:t>1</m:t>
                                    </m:r>
                                  </m:sub>
                                </m:sSub>
                              </m:e>
                              <m:sub>
                                <m:r>
                                  <m:t>Δp</m:t>
                                </m:r>
                              </m:sub>
                            </m:sSub>
                          </m:den>
                        </m:f>
                        <m:r>
                          <m:t>+</m:t>
                        </m:r>
                        <m:f>
                          <m:num>
                            <m:r>
                              <m:t>1</m:t>
                            </m:r>
                          </m:num>
                          <m:den>
                            <m:sSub>
                              <m:e>
                                <m:sSub>
                                  <m:e>
                                    <m:sSub>
                                      <m:e>
                                        <m:r>
                                          <m:rPr>
                                            <m:sty m:val="i"/>
                                          </m:rPr>
                                          <m:t>G</m:t>
                                        </m:r>
                                      </m:e>
                                      <m:sub>
                                        <m:r>
                                          <m:t>1</m:t>
                                        </m:r>
                                      </m:sub>
                                    </m:sSub>
                                  </m:e>
                                  <m:sub>
                                    <m:r>
                                      <m:t>2</m:t>
                                    </m:r>
                                  </m:sub>
                                </m:sSub>
                              </m:e>
                              <m:sub>
                                <m:r>
                                  <m:t>Δp</m:t>
                                </m:r>
                              </m:sub>
                            </m:sSub>
                          </m:den>
                        </m:f>
                      </m:e>
                    </m:d>
                  </m:e>
                  <m:sup>
                    <m:d>
                      <m:dPr>
                        <m:begChr m:val="("/>
                        <m:endChr m:val=")"/>
                      </m:dPr>
                      <m:e>
                        <m:r>
                          <m:t>−</m:t>
                        </m:r>
                        <m:r>
                          <m:t>1</m:t>
                        </m:r>
                      </m:e>
                    </m:d>
                  </m:sup>
                </m:sSup>
                <m:r>
                  <m:t>=</m:t>
                </m:r>
                <m:sSup>
                  <m:e>
                    <m:d>
                      <m:dPr>
                        <m:begChr m:val="("/>
                        <m:endChr m:val=")"/>
                      </m:dPr>
                      <m:e>
                        <m:f>
                          <m:num>
                            <m:r>
                              <m:t>1</m:t>
                            </m:r>
                          </m:num>
                          <m:den>
                            <m:r>
                              <m:t>56.775</m:t>
                            </m:r>
                          </m:den>
                        </m:f>
                        <m:r>
                          <m:t>+</m:t>
                        </m:r>
                        <m:f>
                          <m:num>
                            <m:r>
                              <m:t>1</m:t>
                            </m:r>
                          </m:num>
                          <m:den>
                            <m:r>
                              <m:t>0.19</m:t>
                            </m:r>
                          </m:den>
                        </m:f>
                      </m:e>
                    </m:d>
                  </m:e>
                  <m:sup>
                    <m:d>
                      <m:dPr>
                        <m:begChr m:val="("/>
                        <m:endChr m:val=")"/>
                      </m:dPr>
                      <m:e>
                        <m:r>
                          <m:t>−</m:t>
                        </m:r>
                        <m:r>
                          <m:t>1</m:t>
                        </m:r>
                      </m:e>
                    </m:d>
                  </m:sup>
                </m:sSup>
                <m:r>
                  <m:t>=</m:t>
                </m:r>
                <m:r>
                  <m:t>0.1894</m:t>
                </m:r>
                <m:r>
                  <m:t xml:space="preserve"> </m:t>
                </m:r>
                <m:f>
                  <m:num>
                    <m:r>
                      <m:t>кг</m:t>
                    </m:r>
                  </m:num>
                  <m:den>
                    <m:sSup>
                      <m:e>
                        <m:r>
                          <m:t>м</m:t>
                        </m:r>
                      </m:e>
                      <m:sup>
                        <m:r>
                          <m:t>2</m:t>
                        </m:r>
                      </m:sup>
                    </m:sSup>
                    <m:r>
                      <m:t>·</m:t>
                    </m:r>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5" w:name="CadEE_Target_105"/>
            <w:r>
              <w:fldChar w:fldCharType="begin"/>
            </w:r>
            <w:r>
              <w:instrText xml:space="preserve"> SEQ CadEE_Formula \* ARABIC </w:instrText>
            </w:r>
            <w:r>
              <w:fldChar w:fldCharType="separate"/>
            </w:r>
            <w:r>
              <w:t xml:space="preserve">36</w:t>
            </w:r>
            <w:r>
              <w:fldChar w:fldCharType="end"/>
            </w:r>
            <w:bookmarkEnd w:id="105"/>
            <w:r>
              <w:t>)</w:t>
            </w:r>
          </w:p>
        </w:tc>
      </w:tr>
    </w:tbl>
    <w:p>
      <w:pPr>
        <w:pStyle w:val="CadEENormalText"/>
      </w:pPr>
      <w:r>
        <w:t xml:space="preserve">де </w:t>
      </w:r>
      <w:r>
        <w:rPr>
          <w:rFonts w:ascii="Cambria Math" w:hAnsi="Cambria Math" w:eastAsia="Cambria Math" w:cs="Cambria Math"/>
        </w:rPr>
        <w:t xml:space="preserve">G</w:t>
      </w:r>
      <w:r>
        <w:rPr>
          <w:rFonts w:ascii="Cambria Math" w:hAnsi="Cambria Math" w:eastAsia="Cambria Math" w:cs="Cambria Math"/>
          <w:vertAlign w:val="subscript"/>
        </w:rPr>
        <w:t xml:space="preserve">1 1 Δp</w:t>
      </w:r>
      <w:r>
        <w:t xml:space="preserve">, див. п. </w:t>
      </w:r>
      <w:r>
        <w:fldChar w:fldCharType="begin"/>
      </w:r>
      <w:r>
        <w:instrText xml:space="preserve"> REF CadEE_Target_98 \n \h </w:instrText>
      </w:r>
      <w:r>
        <w:fldChar w:fldCharType="separate"/>
      </w:r>
      <w:r>
        <w:t xml:space="preserve">1.3.7.1.2</w:t>
      </w:r>
      <w:r>
        <w:fldChar w:fldCharType="end"/>
      </w:r>
      <w:r>
        <w:t xml:space="preserve">; </w:t>
      </w:r>
      <w:r>
        <w:rPr>
          <w:rFonts w:ascii="Cambria Math" w:hAnsi="Cambria Math" w:eastAsia="Cambria Math" w:cs="Cambria Math"/>
        </w:rPr>
        <w:t xml:space="preserve">G</w:t>
      </w:r>
      <w:r>
        <w:rPr>
          <w:rFonts w:ascii="Cambria Math" w:hAnsi="Cambria Math" w:eastAsia="Cambria Math" w:cs="Cambria Math"/>
          <w:vertAlign w:val="subscript"/>
        </w:rPr>
        <w:t xml:space="preserve">1 2 Δp</w:t>
      </w:r>
      <w:r>
        <w:t xml:space="preserve">, див. п. </w:t>
      </w:r>
      <w:r>
        <w:fldChar w:fldCharType="begin"/>
      </w:r>
      <w:r>
        <w:instrText xml:space="preserve"> REF CadEE_Target_102 \n \h </w:instrText>
      </w:r>
      <w:r>
        <w:fldChar w:fldCharType="separate"/>
      </w:r>
      <w:r>
        <w:t xml:space="preserve">1.3.7.1.4</w:t>
      </w:r>
      <w:r>
        <w:fldChar w:fldCharType="end"/>
      </w:r>
      <w:r>
        <w:t xml:space="preserve">.</w:t>
      </w:r>
    </w:p>
    <w:p>
      <w:pPr>
        <w:pStyle w:val="CadEENormalText"/>
        <w:numPr>
          <w:ilvl w:val="3"/>
          <w:numId w:val="1"/>
        </w:numPr>
      </w:pPr>
      <w:bookmarkStart w:id="106" w:name="CadEE_Target_106"/>
      <w:r>
        <w:t xml:space="preserve">Площу F_1 унікального варіанта 1 визначаємо пропорційно до його ширини b_1 у межах розрахункової смуги W.</w:t>
      </w:r>
      <w:bookmarkEnd w:id="10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F</m:t>
                    </m:r>
                  </m:e>
                  <m:sub>
                    <m:r>
                      <m:t>1</m:t>
                    </m:r>
                  </m:sub>
                </m:sSub>
                <m:r>
                  <m:t>=</m:t>
                </m:r>
                <m:f>
                  <m:num>
                    <m:r>
                      <m:rPr>
                        <m:sty m:val="i"/>
                      </m:rPr>
                      <m:t>F</m:t>
                    </m:r>
                    <m:sSub>
                      <m:e>
                        <m:r>
                          <m:rPr>
                            <m:sty m:val="i"/>
                          </m:rPr>
                          <m:t>b</m:t>
                        </m:r>
                      </m:e>
                      <m:sub>
                        <m:r>
                          <m:t>1</m:t>
                        </m:r>
                      </m:sub>
                    </m:sSub>
                  </m:num>
                  <m:den>
                    <m:r>
                      <m:rPr>
                        <m:sty m:val="i"/>
                      </m:rPr>
                      <m:t>W</m:t>
                    </m:r>
                  </m:den>
                </m:f>
                <m:r>
                  <m:t>=</m:t>
                </m:r>
                <m:f>
                  <m:num>
                    <m:r>
                      <m:t>1</m:t>
                    </m:r>
                    <m:r>
                      <m:t>·</m:t>
                    </m:r>
                    <m:r>
                      <m:t>0.2</m:t>
                    </m:r>
                  </m:num>
                  <m:den>
                    <m:r>
                      <m:t>0.8</m:t>
                    </m:r>
                  </m:den>
                </m:f>
                <m:r>
                  <m:t>=</m:t>
                </m:r>
                <m:r>
                  <m:t>0.25</m:t>
                </m:r>
                <m:r>
                  <m:t xml:space="preserve"> </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7" w:name="CadEE_Target_107"/>
            <w:r>
              <w:fldChar w:fldCharType="begin"/>
            </w:r>
            <w:r>
              <w:instrText xml:space="preserve"> SEQ CadEE_Formula \* ARABIC </w:instrText>
            </w:r>
            <w:r>
              <w:fldChar w:fldCharType="separate"/>
            </w:r>
            <w:r>
              <w:t xml:space="preserve">37</w:t>
            </w:r>
            <w:r>
              <w:fldChar w:fldCharType="end"/>
            </w:r>
            <w:bookmarkEnd w:id="107"/>
            <w:r>
              <w:t>)</w:t>
            </w:r>
          </w:p>
        </w:tc>
      </w:tr>
    </w:tbl>
    <w:p>
      <w:pPr>
        <w:pStyle w:val="CadEENormalText"/>
      </w:pPr>
      <w:r>
        <w:t xml:space="preserve">де </w:t>
      </w:r>
      <w:r>
        <w:rPr>
          <w:rFonts w:ascii="Cambria Math" w:hAnsi="Cambria Math" w:eastAsia="Cambria Math" w:cs="Cambria Math"/>
        </w:rPr>
        <w:t xml:space="preserve">F</w:t>
      </w:r>
      <w:r>
        <w:t xml:space="preserve">, </w:t>
      </w:r>
      <w:r>
        <w:rPr>
          <w:rFonts w:ascii="Cambria Math" w:hAnsi="Cambria Math" w:eastAsia="Cambria Math" w:cs="Cambria Math"/>
        </w:rPr>
        <w:t xml:space="preserve">b</w:t>
      </w:r>
      <w:r>
        <w:rPr>
          <w:rFonts w:ascii="Cambria Math" w:hAnsi="Cambria Math" w:eastAsia="Cambria Math" w:cs="Cambria Math"/>
          <w:vertAlign w:val="subscript"/>
        </w:rPr>
        <w:t xml:space="preserve">1</w:t>
      </w:r>
      <w:r>
        <w:t xml:space="preserve">, </w:t>
      </w:r>
      <w:r>
        <w:rPr>
          <w:rFonts w:ascii="Cambria Math" w:hAnsi="Cambria Math" w:eastAsia="Cambria Math" w:cs="Cambria Math"/>
        </w:rPr>
        <w:t xml:space="preserve">W</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3"/>
          <w:numId w:val="1"/>
        </w:numPr>
      </w:pPr>
      <w:bookmarkStart w:id="108" w:name="CadEE_Target_108"/>
      <w:r>
        <w:t xml:space="preserve">Визначимо характеристики кожного шару конструкції</w:t>
      </w:r>
      <w:bookmarkEnd w:id="108"/>
    </w:p>
    <w:p>
      <w:pPr>
        <w:pStyle w:val="CadEENormalText"/>
        <w:numPr>
          <w:ilvl w:val="4"/>
          <w:numId w:val="1"/>
        </w:numPr>
      </w:pPr>
      <w:bookmarkStart w:id="109" w:name="CadEE_Target_109"/>
      <w:r>
        <w:t xml:space="preserve">Для варіанта 2, шар 1 "Спінений пінополістирол ρ=15 кг/м3" значення базової різниці тисків Δp0_2_1, повітропроникності при базовій різниці тисків G_2_1_Δp0 та показника степеня n_2_1 приймаємо згідно з ДСТУ-Н Б В.2.6-191:2013, п. 5.1, таблиця 3, як для матеріалу "Пінополістирол (ПСБ)" при товщині шару 0.05 м.</w:t>
      </w:r>
      <w:bookmarkEnd w:id="10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Δp</m:t>
                            </m:r>
                          </m:e>
                          <m:sub>
                            <m:r>
                              <m:t>0</m:t>
                            </m:r>
                          </m:sub>
                        </m:sSub>
                      </m:e>
                      <m:sub>
                        <m:r>
                          <m:t>2</m:t>
                        </m:r>
                      </m:sub>
                    </m:sSub>
                  </m:e>
                  <m:sub>
                    <m:r>
                      <m:t>1</m:t>
                    </m:r>
                  </m:sub>
                </m:sSub>
                <m:r>
                  <m:t>=</m:t>
                </m:r>
                <m:r>
                  <m:t>10</m:t>
                </m:r>
                <m:r>
                  <m:t>Па</m:t>
                </m:r>
                <m:r>
                  <m:t xml:space="preserve"> </m:t>
                </m:r>
                <m:sSub>
                  <m:e>
                    <m:sSub>
                      <m:e>
                        <m:sSub>
                          <m:e>
                            <m:r>
                              <m:rPr>
                                <m:sty m:val="i"/>
                              </m:rPr>
                              <m:t>G</m:t>
                            </m:r>
                          </m:e>
                          <m:sub>
                            <m:r>
                              <m:t>2</m:t>
                            </m:r>
                          </m:sub>
                        </m:sSub>
                      </m:e>
                      <m:sub>
                        <m:r>
                          <m:t>1</m:t>
                        </m:r>
                      </m:sub>
                    </m:sSub>
                  </m:e>
                  <m:sub>
                    <m:sSub>
                      <m:e>
                        <m:r>
                          <m:t>Δp</m:t>
                        </m:r>
                      </m:e>
                      <m:sub>
                        <m:r>
                          <m:t>0</m:t>
                        </m:r>
                      </m:sub>
                    </m:sSub>
                  </m:sub>
                </m:sSub>
                <m:r>
                  <m:t>=</m:t>
                </m:r>
                <m:r>
                  <m:t>0.127</m:t>
                </m:r>
                <m:f>
                  <m:num>
                    <m:r>
                      <m:t>кг</m:t>
                    </m:r>
                  </m:num>
                  <m:den>
                    <m:sSup>
                      <m:e>
                        <m:r>
                          <m:t>м</m:t>
                        </m:r>
                      </m:e>
                      <m:sup>
                        <m:r>
                          <m:t>2</m:t>
                        </m:r>
                      </m:sup>
                    </m:sSup>
                    <m:r>
                      <m:t>·</m:t>
                    </m:r>
                    <m:r>
                      <m:t>год</m:t>
                    </m:r>
                  </m:den>
                </m:f>
                <m:r>
                  <m:t xml:space="preserve"> </m:t>
                </m:r>
                <m:sSub>
                  <m:e>
                    <m:sSub>
                      <m:e>
                        <m:r>
                          <m:rPr>
                            <m:sty m:val="i"/>
                          </m:rPr>
                          <m:t>n</m:t>
                        </m:r>
                      </m:e>
                      <m:sub>
                        <m:r>
                          <m:t>2</m:t>
                        </m:r>
                      </m:sub>
                    </m:sSub>
                  </m:e>
                  <m:sub>
                    <m:r>
                      <m:t>1</m:t>
                    </m:r>
                  </m:sub>
                </m:sSub>
                <m:r>
                  <m:t>=</m:t>
                </m:r>
                <m:r>
                  <m:t>0.65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0" w:name="CadEE_Target_110"/>
            <w:r>
              <w:fldChar w:fldCharType="begin"/>
            </w:r>
            <w:r>
              <w:instrText xml:space="preserve"> SEQ CadEE_Formula \* ARABIC </w:instrText>
            </w:r>
            <w:r>
              <w:fldChar w:fldCharType="separate"/>
            </w:r>
            <w:r>
              <w:t xml:space="preserve">38</w:t>
            </w:r>
            <w:r>
              <w:fldChar w:fldCharType="end"/>
            </w:r>
            <w:bookmarkEnd w:id="110"/>
            <w:r>
              <w:t>)</w:t>
            </w:r>
          </w:p>
        </w:tc>
      </w:tr>
    </w:tbl>
    <w:p>
      <w:pPr>
        <w:pStyle w:val="CadEENormalText"/>
        <w:numPr>
          <w:ilvl w:val="4"/>
          <w:numId w:val="1"/>
        </w:numPr>
      </w:pPr>
      <w:bookmarkStart w:id="111" w:name="CadEE_Target_111"/>
      <w:r>
        <w:t xml:space="preserve">Повітропроникність варіанта 2, шар 1 перераховуємо до розрахункової різниці тисків Δp згідно з ДСТУ-Н Б В.2.6-191:2013, п. 5.1, формула (2).</w:t>
      </w:r>
      <w:bookmarkEnd w:id="11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G</m:t>
                            </m:r>
                          </m:e>
                          <m:sub>
                            <m:r>
                              <m:t>2</m:t>
                            </m:r>
                          </m:sub>
                        </m:sSub>
                      </m:e>
                      <m:sub>
                        <m:r>
                          <m:t>1</m:t>
                        </m:r>
                      </m:sub>
                    </m:sSub>
                  </m:e>
                  <m:sub>
                    <m:r>
                      <m:t>Δp</m:t>
                    </m:r>
                  </m:sub>
                </m:sSub>
                <m:r>
                  <m:t>=</m:t>
                </m:r>
                <m:sSub>
                  <m:e>
                    <m:sSub>
                      <m:e>
                        <m:sSub>
                          <m:e>
                            <m:r>
                              <m:rPr>
                                <m:sty m:val="i"/>
                              </m:rPr>
                              <m:t>G</m:t>
                            </m:r>
                          </m:e>
                          <m:sub>
                            <m:r>
                              <m:t>2</m:t>
                            </m:r>
                          </m:sub>
                        </m:sSub>
                      </m:e>
                      <m:sub>
                        <m:r>
                          <m:t>1</m:t>
                        </m:r>
                      </m:sub>
                    </m:sSub>
                  </m:e>
                  <m:sub>
                    <m:sSub>
                      <m:e>
                        <m:r>
                          <m:t>Δp</m:t>
                        </m:r>
                      </m:e>
                      <m:sub>
                        <m:r>
                          <m:t>0</m:t>
                        </m:r>
                      </m:sub>
                    </m:sSub>
                  </m:sub>
                </m:sSub>
                <m:sSup>
                  <m:e>
                    <m:f>
                      <m:num>
                        <m:r>
                          <m:t>Δp</m:t>
                        </m:r>
                      </m:num>
                      <m:den>
                        <m:sSub>
                          <m:e>
                            <m:sSub>
                              <m:e>
                                <m:sSub>
                                  <m:e>
                                    <m:r>
                                      <m:t>Δp</m:t>
                                    </m:r>
                                  </m:e>
                                  <m:sub>
                                    <m:r>
                                      <m:t>0</m:t>
                                    </m:r>
                                  </m:sub>
                                </m:sSub>
                              </m:e>
                              <m:sub>
                                <m:r>
                                  <m:t>2</m:t>
                                </m:r>
                              </m:sub>
                            </m:sSub>
                          </m:e>
                          <m:sub>
                            <m:r>
                              <m:t>1</m:t>
                            </m:r>
                          </m:sub>
                        </m:sSub>
                      </m:den>
                    </m:f>
                  </m:e>
                  <m:sup>
                    <m:sSub>
                      <m:e>
                        <m:sSub>
                          <m:e>
                            <m:r>
                              <m:rPr>
                                <m:sty m:val="i"/>
                              </m:rPr>
                              <m:t>n</m:t>
                            </m:r>
                          </m:e>
                          <m:sub>
                            <m:r>
                              <m:t>2</m:t>
                            </m:r>
                          </m:sub>
                        </m:sSub>
                      </m:e>
                      <m:sub>
                        <m:r>
                          <m:t>1</m:t>
                        </m:r>
                      </m:sub>
                    </m:sSub>
                  </m:sup>
                </m:sSup>
                <m:r>
                  <m:t>=</m:t>
                </m:r>
                <m:r>
                  <m:t>0.127</m:t>
                </m:r>
                <m:r>
                  <m:t>·</m:t>
                </m:r>
                <m:sSup>
                  <m:e>
                    <m:f>
                      <m:num>
                        <m:r>
                          <m:t>18.59</m:t>
                        </m:r>
                      </m:num>
                      <m:den>
                        <m:r>
                          <m:t>10</m:t>
                        </m:r>
                      </m:den>
                    </m:f>
                  </m:e>
                  <m:sup>
                    <m:r>
                      <m:t>0.65</m:t>
                    </m:r>
                  </m:sup>
                </m:sSup>
                <m:r>
                  <m:t>=</m:t>
                </m:r>
                <m:r>
                  <m:t>0.19</m:t>
                </m:r>
                <m:r>
                  <m:t xml:space="preserve"> </m:t>
                </m:r>
                <m:f>
                  <m:num>
                    <m:r>
                      <m:t>кг</m:t>
                    </m:r>
                  </m:num>
                  <m:den>
                    <m:sSup>
                      <m:e>
                        <m:r>
                          <m:t>м</m:t>
                        </m:r>
                      </m:e>
                      <m:sup>
                        <m:r>
                          <m:t>2</m:t>
                        </m:r>
                      </m:sup>
                    </m:sSup>
                    <m:r>
                      <m:t>·</m:t>
                    </m:r>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2" w:name="CadEE_Target_112"/>
            <w:r>
              <w:fldChar w:fldCharType="begin"/>
            </w:r>
            <w:r>
              <w:instrText xml:space="preserve"> SEQ CadEE_Formula \* ARABIC </w:instrText>
            </w:r>
            <w:r>
              <w:fldChar w:fldCharType="separate"/>
            </w:r>
            <w:r>
              <w:t xml:space="preserve">39</w:t>
            </w:r>
            <w:r>
              <w:fldChar w:fldCharType="end"/>
            </w:r>
            <w:bookmarkEnd w:id="112"/>
            <w:r>
              <w:t>)</w:t>
            </w:r>
          </w:p>
        </w:tc>
      </w:tr>
    </w:tbl>
    <w:p>
      <w:pPr>
        <w:pStyle w:val="CadEENormalText"/>
      </w:pPr>
      <w:r>
        <w:t xml:space="preserve">де </w:t>
      </w:r>
      <w:r>
        <w:rPr>
          <w:rFonts w:ascii="Cambria Math" w:hAnsi="Cambria Math" w:eastAsia="Cambria Math" w:cs="Cambria Math"/>
        </w:rPr>
        <w:t xml:space="preserve">G</w:t>
      </w:r>
      <w:r>
        <w:rPr>
          <w:rFonts w:ascii="Cambria Math" w:hAnsi="Cambria Math" w:eastAsia="Cambria Math" w:cs="Cambria Math"/>
          <w:vertAlign w:val="subscript"/>
        </w:rPr>
        <w:t xml:space="preserve">2 1 Δp0</w:t>
      </w:r>
      <w:r>
        <w:t xml:space="preserve">, </w:t>
      </w:r>
      <w:r>
        <w:rPr>
          <w:rFonts w:ascii="Cambria Math" w:hAnsi="Cambria Math" w:eastAsia="Cambria Math" w:cs="Cambria Math"/>
        </w:rPr>
        <w:t xml:space="preserve">Δp0</w:t>
      </w:r>
      <w:r>
        <w:rPr>
          <w:rFonts w:ascii="Cambria Math" w:hAnsi="Cambria Math" w:eastAsia="Cambria Math" w:cs="Cambria Math"/>
          <w:vertAlign w:val="subscript"/>
        </w:rPr>
        <w:t xml:space="preserve">2 1</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2 1</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Δp</w:t>
      </w:r>
      <w:r>
        <w:t xml:space="preserve"> - те саме, що у формулі (</w:t>
      </w:r>
      <w:r>
        <w:fldChar w:fldCharType="begin"/>
      </w:r>
      <w:r>
        <w:instrText xml:space="preserve"> REF CadEE_Target_99 \h </w:instrText>
      </w:r>
      <w:r>
        <w:fldChar w:fldCharType="separate"/>
      </w:r>
      <w:r>
        <w:t xml:space="preserve">33</w:t>
      </w:r>
      <w:r>
        <w:fldChar w:fldCharType="end"/>
      </w:r>
      <w:r>
        <w:t xml:space="preserve">).</w:t>
      </w:r>
    </w:p>
    <w:p>
      <w:pPr>
        <w:pStyle w:val="CadEENormalText"/>
        <w:numPr>
          <w:ilvl w:val="4"/>
          <w:numId w:val="1"/>
        </w:numPr>
      </w:pPr>
      <w:bookmarkStart w:id="113" w:name="CadEE_Target_113"/>
      <w:r>
        <w:t xml:space="preserve">Для варіанта 2, шар 2 "Спінений пінополістирол ρ=15 кг/м3" значення базової різниці тисків Δp0_2_2, повітропроникності при базовій різниці тисків G_2_2_Δp0 та показника степеня n_2_2 приймаємо згідно з ДСТУ-Н Б В.2.6-191:2013, п. 5.1, таблиця 3, як для матеріалу "Пінополістирол (ПСБ)" при товщині шару 0.05 м.</w:t>
      </w:r>
      <w:bookmarkEnd w:id="11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Δp</m:t>
                            </m:r>
                          </m:e>
                          <m:sub>
                            <m:r>
                              <m:t>0</m:t>
                            </m:r>
                          </m:sub>
                        </m:sSub>
                      </m:e>
                      <m:sub>
                        <m:r>
                          <m:t>2</m:t>
                        </m:r>
                      </m:sub>
                    </m:sSub>
                  </m:e>
                  <m:sub>
                    <m:r>
                      <m:t>2</m:t>
                    </m:r>
                  </m:sub>
                </m:sSub>
                <m:r>
                  <m:t>=</m:t>
                </m:r>
                <m:r>
                  <m:t>10</m:t>
                </m:r>
                <m:r>
                  <m:t>Па</m:t>
                </m:r>
                <m:r>
                  <m:t xml:space="preserve"> </m:t>
                </m:r>
                <m:sSub>
                  <m:e>
                    <m:sSub>
                      <m:e>
                        <m:sSub>
                          <m:e>
                            <m:r>
                              <m:rPr>
                                <m:sty m:val="i"/>
                              </m:rPr>
                              <m:t>G</m:t>
                            </m:r>
                          </m:e>
                          <m:sub>
                            <m:r>
                              <m:t>2</m:t>
                            </m:r>
                          </m:sub>
                        </m:sSub>
                      </m:e>
                      <m:sub>
                        <m:r>
                          <m:t>2</m:t>
                        </m:r>
                      </m:sub>
                    </m:sSub>
                  </m:e>
                  <m:sub>
                    <m:sSub>
                      <m:e>
                        <m:r>
                          <m:t>Δp</m:t>
                        </m:r>
                      </m:e>
                      <m:sub>
                        <m:r>
                          <m:t>0</m:t>
                        </m:r>
                      </m:sub>
                    </m:sSub>
                  </m:sub>
                </m:sSub>
                <m:r>
                  <m:t>=</m:t>
                </m:r>
                <m:r>
                  <m:t>0.127</m:t>
                </m:r>
                <m:f>
                  <m:num>
                    <m:r>
                      <m:t>кг</m:t>
                    </m:r>
                  </m:num>
                  <m:den>
                    <m:sSup>
                      <m:e>
                        <m:r>
                          <m:t>м</m:t>
                        </m:r>
                      </m:e>
                      <m:sup>
                        <m:r>
                          <m:t>2</m:t>
                        </m:r>
                      </m:sup>
                    </m:sSup>
                    <m:r>
                      <m:t>·</m:t>
                    </m:r>
                    <m:r>
                      <m:t>год</m:t>
                    </m:r>
                  </m:den>
                </m:f>
                <m:r>
                  <m:t xml:space="preserve"> </m:t>
                </m:r>
                <m:sSub>
                  <m:e>
                    <m:sSub>
                      <m:e>
                        <m:r>
                          <m:rPr>
                            <m:sty m:val="i"/>
                          </m:rPr>
                          <m:t>n</m:t>
                        </m:r>
                      </m:e>
                      <m:sub>
                        <m:r>
                          <m:t>2</m:t>
                        </m:r>
                      </m:sub>
                    </m:sSub>
                  </m:e>
                  <m:sub>
                    <m:r>
                      <m:t>2</m:t>
                    </m:r>
                  </m:sub>
                </m:sSub>
                <m:r>
                  <m:t>=</m:t>
                </m:r>
                <m:r>
                  <m:t>0.65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4" w:name="CadEE_Target_114"/>
            <w:r>
              <w:fldChar w:fldCharType="begin"/>
            </w:r>
            <w:r>
              <w:instrText xml:space="preserve"> SEQ CadEE_Formula \* ARABIC </w:instrText>
            </w:r>
            <w:r>
              <w:fldChar w:fldCharType="separate"/>
            </w:r>
            <w:r>
              <w:t xml:space="preserve">40</w:t>
            </w:r>
            <w:r>
              <w:fldChar w:fldCharType="end"/>
            </w:r>
            <w:bookmarkEnd w:id="114"/>
            <w:r>
              <w:t>)</w:t>
            </w:r>
          </w:p>
        </w:tc>
      </w:tr>
    </w:tbl>
    <w:p>
      <w:pPr>
        <w:pStyle w:val="CadEENormalText"/>
        <w:numPr>
          <w:ilvl w:val="4"/>
          <w:numId w:val="1"/>
        </w:numPr>
      </w:pPr>
      <w:bookmarkStart w:id="115" w:name="CadEE_Target_115"/>
      <w:r>
        <w:t xml:space="preserve">Повітропроникність варіанта 2, шар 2 перераховуємо до розрахункової різниці тисків Δp згідно з ДСТУ-Н Б В.2.6-191:2013, п. 5.1, формула (2).</w:t>
      </w:r>
      <w:bookmarkEnd w:id="11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G</m:t>
                            </m:r>
                          </m:e>
                          <m:sub>
                            <m:r>
                              <m:t>2</m:t>
                            </m:r>
                          </m:sub>
                        </m:sSub>
                      </m:e>
                      <m:sub>
                        <m:r>
                          <m:t>2</m:t>
                        </m:r>
                      </m:sub>
                    </m:sSub>
                  </m:e>
                  <m:sub>
                    <m:r>
                      <m:t>Δp</m:t>
                    </m:r>
                  </m:sub>
                </m:sSub>
                <m:r>
                  <m:t>=</m:t>
                </m:r>
                <m:sSub>
                  <m:e>
                    <m:sSub>
                      <m:e>
                        <m:sSub>
                          <m:e>
                            <m:r>
                              <m:rPr>
                                <m:sty m:val="i"/>
                              </m:rPr>
                              <m:t>G</m:t>
                            </m:r>
                          </m:e>
                          <m:sub>
                            <m:r>
                              <m:t>2</m:t>
                            </m:r>
                          </m:sub>
                        </m:sSub>
                      </m:e>
                      <m:sub>
                        <m:r>
                          <m:t>2</m:t>
                        </m:r>
                      </m:sub>
                    </m:sSub>
                  </m:e>
                  <m:sub>
                    <m:sSub>
                      <m:e>
                        <m:r>
                          <m:t>Δp</m:t>
                        </m:r>
                      </m:e>
                      <m:sub>
                        <m:r>
                          <m:t>0</m:t>
                        </m:r>
                      </m:sub>
                    </m:sSub>
                  </m:sub>
                </m:sSub>
                <m:sSup>
                  <m:e>
                    <m:f>
                      <m:num>
                        <m:r>
                          <m:t>Δp</m:t>
                        </m:r>
                      </m:num>
                      <m:den>
                        <m:sSub>
                          <m:e>
                            <m:sSub>
                              <m:e>
                                <m:sSub>
                                  <m:e>
                                    <m:r>
                                      <m:t>Δp</m:t>
                                    </m:r>
                                  </m:e>
                                  <m:sub>
                                    <m:r>
                                      <m:t>0</m:t>
                                    </m:r>
                                  </m:sub>
                                </m:sSub>
                              </m:e>
                              <m:sub>
                                <m:r>
                                  <m:t>2</m:t>
                                </m:r>
                              </m:sub>
                            </m:sSub>
                          </m:e>
                          <m:sub>
                            <m:r>
                              <m:t>2</m:t>
                            </m:r>
                          </m:sub>
                        </m:sSub>
                      </m:den>
                    </m:f>
                  </m:e>
                  <m:sup>
                    <m:sSub>
                      <m:e>
                        <m:sSub>
                          <m:e>
                            <m:r>
                              <m:rPr>
                                <m:sty m:val="i"/>
                              </m:rPr>
                              <m:t>n</m:t>
                            </m:r>
                          </m:e>
                          <m:sub>
                            <m:r>
                              <m:t>2</m:t>
                            </m:r>
                          </m:sub>
                        </m:sSub>
                      </m:e>
                      <m:sub>
                        <m:r>
                          <m:t>2</m:t>
                        </m:r>
                      </m:sub>
                    </m:sSub>
                  </m:sup>
                </m:sSup>
                <m:r>
                  <m:t>=</m:t>
                </m:r>
                <m:r>
                  <m:t>0.127</m:t>
                </m:r>
                <m:r>
                  <m:t>·</m:t>
                </m:r>
                <m:sSup>
                  <m:e>
                    <m:f>
                      <m:num>
                        <m:r>
                          <m:t>18.59</m:t>
                        </m:r>
                      </m:num>
                      <m:den>
                        <m:r>
                          <m:t>10</m:t>
                        </m:r>
                      </m:den>
                    </m:f>
                  </m:e>
                  <m:sup>
                    <m:r>
                      <m:t>0.65</m:t>
                    </m:r>
                  </m:sup>
                </m:sSup>
                <m:r>
                  <m:t>=</m:t>
                </m:r>
                <m:r>
                  <m:t>0.19</m:t>
                </m:r>
                <m:r>
                  <m:t xml:space="preserve"> </m:t>
                </m:r>
                <m:f>
                  <m:num>
                    <m:r>
                      <m:t>кг</m:t>
                    </m:r>
                  </m:num>
                  <m:den>
                    <m:sSup>
                      <m:e>
                        <m:r>
                          <m:t>м</m:t>
                        </m:r>
                      </m:e>
                      <m:sup>
                        <m:r>
                          <m:t>2</m:t>
                        </m:r>
                      </m:sup>
                    </m:sSup>
                    <m:r>
                      <m:t>·</m:t>
                    </m:r>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6" w:name="CadEE_Target_116"/>
            <w:r>
              <w:fldChar w:fldCharType="begin"/>
            </w:r>
            <w:r>
              <w:instrText xml:space="preserve"> SEQ CadEE_Formula \* ARABIC </w:instrText>
            </w:r>
            <w:r>
              <w:fldChar w:fldCharType="separate"/>
            </w:r>
            <w:r>
              <w:t xml:space="preserve">41</w:t>
            </w:r>
            <w:r>
              <w:fldChar w:fldCharType="end"/>
            </w:r>
            <w:bookmarkEnd w:id="116"/>
            <w:r>
              <w:t>)</w:t>
            </w:r>
          </w:p>
        </w:tc>
      </w:tr>
    </w:tbl>
    <w:p>
      <w:pPr>
        <w:pStyle w:val="CadEENormalText"/>
      </w:pPr>
      <w:r>
        <w:t xml:space="preserve">де </w:t>
      </w:r>
      <w:r>
        <w:rPr>
          <w:rFonts w:ascii="Cambria Math" w:hAnsi="Cambria Math" w:eastAsia="Cambria Math" w:cs="Cambria Math"/>
        </w:rPr>
        <w:t xml:space="preserve">G</w:t>
      </w:r>
      <w:r>
        <w:rPr>
          <w:rFonts w:ascii="Cambria Math" w:hAnsi="Cambria Math" w:eastAsia="Cambria Math" w:cs="Cambria Math"/>
          <w:vertAlign w:val="subscript"/>
        </w:rPr>
        <w:t xml:space="preserve">2 2 Δp0</w:t>
      </w:r>
      <w:r>
        <w:t xml:space="preserve">, </w:t>
      </w:r>
      <w:r>
        <w:rPr>
          <w:rFonts w:ascii="Cambria Math" w:hAnsi="Cambria Math" w:eastAsia="Cambria Math" w:cs="Cambria Math"/>
        </w:rPr>
        <w:t xml:space="preserve">Δp0</w:t>
      </w:r>
      <w:r>
        <w:rPr>
          <w:rFonts w:ascii="Cambria Math" w:hAnsi="Cambria Math" w:eastAsia="Cambria Math" w:cs="Cambria Math"/>
          <w:vertAlign w:val="subscript"/>
        </w:rPr>
        <w:t xml:space="preserve">2 2</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2 2</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Δp</w:t>
      </w:r>
      <w:r>
        <w:t xml:space="preserve"> - те саме, що у формулі (</w:t>
      </w:r>
      <w:r>
        <w:fldChar w:fldCharType="begin"/>
      </w:r>
      <w:r>
        <w:instrText xml:space="preserve"> REF CadEE_Target_99 \h </w:instrText>
      </w:r>
      <w:r>
        <w:fldChar w:fldCharType="separate"/>
      </w:r>
      <w:r>
        <w:t xml:space="preserve">33</w:t>
      </w:r>
      <w:r>
        <w:fldChar w:fldCharType="end"/>
      </w:r>
      <w:r>
        <w:t xml:space="preserve">).</w:t>
      </w:r>
    </w:p>
    <w:p>
      <w:pPr>
        <w:pStyle w:val="CadEENormalText"/>
        <w:numPr>
          <w:ilvl w:val="3"/>
          <w:numId w:val="1"/>
        </w:numPr>
      </w:pPr>
      <w:bookmarkStart w:id="117" w:name="CadEE_Target_117"/>
      <w:r>
        <w:t xml:space="preserve">Оскільки конструкція має два або більше увімкнених у розрахунку шарів, її розглядаємо як багатошарову огороджувальну конструкцію з послідовним розміщенням шарів згідно з ДСТУ-Н Б В.2.6-191:2013, п. 4, рисунок 1Б. Повітропроникність такої конструкції визначаємо згідно з п. 5.2, формула (6).</w:t>
      </w:r>
      <w:bookmarkEnd w:id="11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G</m:t>
                        </m:r>
                      </m:e>
                      <m:sub>
                        <m:r>
                          <m:rPr>
                            <m:sty m:val="i"/>
                          </m:rPr>
                          <m:t>k</m:t>
                        </m:r>
                      </m:sub>
                    </m:sSub>
                  </m:e>
                  <m:sub>
                    <m:r>
                      <m:t>2</m:t>
                    </m:r>
                  </m:sub>
                </m:sSub>
                <m:r>
                  <m:t>=</m:t>
                </m:r>
                <m:sSup>
                  <m:e>
                    <m:d>
                      <m:dPr>
                        <m:begChr m:val="("/>
                        <m:endChr m:val=")"/>
                      </m:dPr>
                      <m:e>
                        <m:f>
                          <m:num>
                            <m:r>
                              <m:t>1</m:t>
                            </m:r>
                          </m:num>
                          <m:den>
                            <m:sSub>
                              <m:e>
                                <m:sSub>
                                  <m:e>
                                    <m:sSub>
                                      <m:e>
                                        <m:r>
                                          <m:rPr>
                                            <m:sty m:val="i"/>
                                          </m:rPr>
                                          <m:t>G</m:t>
                                        </m:r>
                                      </m:e>
                                      <m:sub>
                                        <m:r>
                                          <m:t>2</m:t>
                                        </m:r>
                                      </m:sub>
                                    </m:sSub>
                                  </m:e>
                                  <m:sub>
                                    <m:r>
                                      <m:t>1</m:t>
                                    </m:r>
                                  </m:sub>
                                </m:sSub>
                              </m:e>
                              <m:sub>
                                <m:r>
                                  <m:t>Δp</m:t>
                                </m:r>
                              </m:sub>
                            </m:sSub>
                          </m:den>
                        </m:f>
                        <m:r>
                          <m:t>+</m:t>
                        </m:r>
                        <m:f>
                          <m:num>
                            <m:r>
                              <m:t>1</m:t>
                            </m:r>
                          </m:num>
                          <m:den>
                            <m:sSub>
                              <m:e>
                                <m:sSub>
                                  <m:e>
                                    <m:sSub>
                                      <m:e>
                                        <m:r>
                                          <m:rPr>
                                            <m:sty m:val="i"/>
                                          </m:rPr>
                                          <m:t>G</m:t>
                                        </m:r>
                                      </m:e>
                                      <m:sub>
                                        <m:r>
                                          <m:t>2</m:t>
                                        </m:r>
                                      </m:sub>
                                    </m:sSub>
                                  </m:e>
                                  <m:sub>
                                    <m:r>
                                      <m:t>2</m:t>
                                    </m:r>
                                  </m:sub>
                                </m:sSub>
                              </m:e>
                              <m:sub>
                                <m:r>
                                  <m:t>Δp</m:t>
                                </m:r>
                              </m:sub>
                            </m:sSub>
                          </m:den>
                        </m:f>
                      </m:e>
                    </m:d>
                  </m:e>
                  <m:sup>
                    <m:d>
                      <m:dPr>
                        <m:begChr m:val="("/>
                        <m:endChr m:val=")"/>
                      </m:dPr>
                      <m:e>
                        <m:r>
                          <m:t>−</m:t>
                        </m:r>
                        <m:r>
                          <m:t>1</m:t>
                        </m:r>
                      </m:e>
                    </m:d>
                  </m:sup>
                </m:sSup>
                <m:r>
                  <m:t>=</m:t>
                </m:r>
                <m:sSup>
                  <m:e>
                    <m:d>
                      <m:dPr>
                        <m:begChr m:val="("/>
                        <m:endChr m:val=")"/>
                      </m:dPr>
                      <m:e>
                        <m:f>
                          <m:num>
                            <m:r>
                              <m:t>1</m:t>
                            </m:r>
                          </m:num>
                          <m:den>
                            <m:r>
                              <m:t>0.19</m:t>
                            </m:r>
                          </m:den>
                        </m:f>
                        <m:r>
                          <m:t>+</m:t>
                        </m:r>
                        <m:f>
                          <m:num>
                            <m:r>
                              <m:t>1</m:t>
                            </m:r>
                          </m:num>
                          <m:den>
                            <m:r>
                              <m:t>0.19</m:t>
                            </m:r>
                          </m:den>
                        </m:f>
                      </m:e>
                    </m:d>
                  </m:e>
                  <m:sup>
                    <m:d>
                      <m:dPr>
                        <m:begChr m:val="("/>
                        <m:endChr m:val=")"/>
                      </m:dPr>
                      <m:e>
                        <m:r>
                          <m:t>−</m:t>
                        </m:r>
                        <m:r>
                          <m:t>1</m:t>
                        </m:r>
                      </m:e>
                    </m:d>
                  </m:sup>
                </m:sSup>
                <m:r>
                  <m:t>=</m:t>
                </m:r>
                <m:r>
                  <m:t>0.095</m:t>
                </m:r>
                <m:r>
                  <m:t xml:space="preserve"> </m:t>
                </m:r>
                <m:f>
                  <m:num>
                    <m:r>
                      <m:t>кг</m:t>
                    </m:r>
                  </m:num>
                  <m:den>
                    <m:sSup>
                      <m:e>
                        <m:r>
                          <m:t>м</m:t>
                        </m:r>
                      </m:e>
                      <m:sup>
                        <m:r>
                          <m:t>2</m:t>
                        </m:r>
                      </m:sup>
                    </m:sSup>
                    <m:r>
                      <m:t>·</m:t>
                    </m:r>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8" w:name="CadEE_Target_118"/>
            <w:r>
              <w:fldChar w:fldCharType="begin"/>
            </w:r>
            <w:r>
              <w:instrText xml:space="preserve"> SEQ CadEE_Formula \* ARABIC </w:instrText>
            </w:r>
            <w:r>
              <w:fldChar w:fldCharType="separate"/>
            </w:r>
            <w:r>
              <w:t xml:space="preserve">42</w:t>
            </w:r>
            <w:r>
              <w:fldChar w:fldCharType="end"/>
            </w:r>
            <w:bookmarkEnd w:id="118"/>
            <w:r>
              <w:t>)</w:t>
            </w:r>
          </w:p>
        </w:tc>
      </w:tr>
    </w:tbl>
    <w:p>
      <w:pPr>
        <w:pStyle w:val="CadEENormalText"/>
      </w:pPr>
      <w:r>
        <w:t xml:space="preserve">де </w:t>
      </w:r>
      <w:r>
        <w:rPr>
          <w:rFonts w:ascii="Cambria Math" w:hAnsi="Cambria Math" w:eastAsia="Cambria Math" w:cs="Cambria Math"/>
        </w:rPr>
        <w:t xml:space="preserve">G</w:t>
      </w:r>
      <w:r>
        <w:rPr>
          <w:rFonts w:ascii="Cambria Math" w:hAnsi="Cambria Math" w:eastAsia="Cambria Math" w:cs="Cambria Math"/>
          <w:vertAlign w:val="subscript"/>
        </w:rPr>
        <w:t xml:space="preserve">2 1 Δp</w:t>
      </w:r>
      <w:r>
        <w:t xml:space="preserve">, див. п. </w:t>
      </w:r>
      <w:r>
        <w:fldChar w:fldCharType="begin"/>
      </w:r>
      <w:r>
        <w:instrText xml:space="preserve"> REF CadEE_Target_111 \n \h </w:instrText>
      </w:r>
      <w:r>
        <w:fldChar w:fldCharType="separate"/>
      </w:r>
      <w:r>
        <w:t xml:space="preserve">1.3.7.4.2</w:t>
      </w:r>
      <w:r>
        <w:fldChar w:fldCharType="end"/>
      </w:r>
      <w:r>
        <w:t xml:space="preserve">; </w:t>
      </w:r>
      <w:r>
        <w:rPr>
          <w:rFonts w:ascii="Cambria Math" w:hAnsi="Cambria Math" w:eastAsia="Cambria Math" w:cs="Cambria Math"/>
        </w:rPr>
        <w:t xml:space="preserve">G</w:t>
      </w:r>
      <w:r>
        <w:rPr>
          <w:rFonts w:ascii="Cambria Math" w:hAnsi="Cambria Math" w:eastAsia="Cambria Math" w:cs="Cambria Math"/>
          <w:vertAlign w:val="subscript"/>
        </w:rPr>
        <w:t xml:space="preserve">2 2 Δp</w:t>
      </w:r>
      <w:r>
        <w:t xml:space="preserve">, див. п. </w:t>
      </w:r>
      <w:r>
        <w:fldChar w:fldCharType="begin"/>
      </w:r>
      <w:r>
        <w:instrText xml:space="preserve"> REF CadEE_Target_115 \n \h </w:instrText>
      </w:r>
      <w:r>
        <w:fldChar w:fldCharType="separate"/>
      </w:r>
      <w:r>
        <w:t xml:space="preserve">1.3.7.4.4</w:t>
      </w:r>
      <w:r>
        <w:fldChar w:fldCharType="end"/>
      </w:r>
      <w:r>
        <w:t xml:space="preserve">.</w:t>
      </w:r>
    </w:p>
    <w:p>
      <w:pPr>
        <w:pStyle w:val="CadEENormalText"/>
        <w:numPr>
          <w:ilvl w:val="3"/>
          <w:numId w:val="1"/>
        </w:numPr>
      </w:pPr>
      <w:bookmarkStart w:id="119" w:name="CadEE_Target_119"/>
      <w:r>
        <w:t xml:space="preserve">Площу F_2 унікального варіанта 2 визначаємо пропорційно до його ширини b_2 у межах розрахункової смуги W.</w:t>
      </w:r>
      <w:bookmarkEnd w:id="11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F</m:t>
                    </m:r>
                  </m:e>
                  <m:sub>
                    <m:r>
                      <m:t>2</m:t>
                    </m:r>
                  </m:sub>
                </m:sSub>
                <m:r>
                  <m:t>=</m:t>
                </m:r>
                <m:f>
                  <m:num>
                    <m:r>
                      <m:rPr>
                        <m:sty m:val="i"/>
                      </m:rPr>
                      <m:t>F</m:t>
                    </m:r>
                    <m:sSub>
                      <m:e>
                        <m:r>
                          <m:rPr>
                            <m:sty m:val="i"/>
                          </m:rPr>
                          <m:t>b</m:t>
                        </m:r>
                      </m:e>
                      <m:sub>
                        <m:r>
                          <m:t>2</m:t>
                        </m:r>
                      </m:sub>
                    </m:sSub>
                  </m:num>
                  <m:den>
                    <m:r>
                      <m:rPr>
                        <m:sty m:val="i"/>
                      </m:rPr>
                      <m:t>W</m:t>
                    </m:r>
                  </m:den>
                </m:f>
                <m:r>
                  <m:t>=</m:t>
                </m:r>
                <m:f>
                  <m:num>
                    <m:r>
                      <m:t>1</m:t>
                    </m:r>
                    <m:r>
                      <m:t>·</m:t>
                    </m:r>
                    <m:r>
                      <m:t>0.6</m:t>
                    </m:r>
                  </m:num>
                  <m:den>
                    <m:r>
                      <m:t>0.8</m:t>
                    </m:r>
                  </m:den>
                </m:f>
                <m:r>
                  <m:t>=</m:t>
                </m:r>
                <m:r>
                  <m:t>0.75</m:t>
                </m:r>
                <m:r>
                  <m:t xml:space="preserve"> </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0" w:name="CadEE_Target_120"/>
            <w:r>
              <w:fldChar w:fldCharType="begin"/>
            </w:r>
            <w:r>
              <w:instrText xml:space="preserve"> SEQ CadEE_Formula \* ARABIC </w:instrText>
            </w:r>
            <w:r>
              <w:fldChar w:fldCharType="separate"/>
            </w:r>
            <w:r>
              <w:t xml:space="preserve">43</w:t>
            </w:r>
            <w:r>
              <w:fldChar w:fldCharType="end"/>
            </w:r>
            <w:bookmarkEnd w:id="120"/>
            <w:r>
              <w:t>)</w:t>
            </w:r>
          </w:p>
        </w:tc>
      </w:tr>
    </w:tbl>
    <w:p>
      <w:pPr>
        <w:pStyle w:val="CadEENormalText"/>
      </w:pPr>
      <w:r>
        <w:t xml:space="preserve">де </w:t>
      </w:r>
      <w:r>
        <w:rPr>
          <w:rFonts w:ascii="Cambria Math" w:hAnsi="Cambria Math" w:eastAsia="Cambria Math" w:cs="Cambria Math"/>
        </w:rPr>
        <w:t xml:space="preserve">F</w:t>
      </w:r>
      <w:r>
        <w:t xml:space="preserve">, </w:t>
      </w:r>
      <w:r>
        <w:rPr>
          <w:rFonts w:ascii="Cambria Math" w:hAnsi="Cambria Math" w:eastAsia="Cambria Math" w:cs="Cambria Math"/>
        </w:rPr>
        <w:t xml:space="preserve">W</w:t>
      </w:r>
      <w:r>
        <w:t xml:space="preserve"> - те саме, що у формулі (</w:t>
      </w:r>
      <w:r>
        <w:fldChar w:fldCharType="begin"/>
      </w:r>
      <w:r>
        <w:instrText xml:space="preserve"> REF CadEE_Target_107 \h </w:instrText>
      </w:r>
      <w:r>
        <w:fldChar w:fldCharType="separate"/>
      </w:r>
      <w:r>
        <w:t xml:space="preserve">37</w:t>
      </w:r>
      <w:r>
        <w:fldChar w:fldCharType="end"/>
      </w:r>
      <w:r>
        <w:t xml:space="preserve">); </w:t>
      </w:r>
      <w:r>
        <w:rPr>
          <w:rFonts w:ascii="Cambria Math" w:hAnsi="Cambria Math" w:eastAsia="Cambria Math" w:cs="Cambria Math"/>
        </w:rPr>
        <w:t xml:space="preserve">b</w:t>
      </w:r>
      <w:r>
        <w:rPr>
          <w:rFonts w:ascii="Cambria Math" w:hAnsi="Cambria Math" w:eastAsia="Cambria Math" w:cs="Cambria Math"/>
          <w:vertAlign w:val="subscript"/>
        </w:rPr>
        <w:t xml:space="preserve">2</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121" w:name="CadEE_Target_121"/>
      <w:r>
        <w:t xml:space="preserve">Загальну повітропроникність конструкції визначаємо як суму повітропроникностей унікальних варіантів, зважених за часткою їх площі згідно з ДСТУ-Н Б В.2.6-191:2013, п. 5.3.</w:t>
      </w:r>
      <w:bookmarkEnd w:id="12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G</m:t>
                    </m:r>
                  </m:e>
                  <m:sub>
                    <m:r>
                      <m:rPr>
                        <m:sty m:val="i"/>
                      </m:rPr>
                      <m:t>k</m:t>
                    </m:r>
                  </m:sub>
                </m:sSub>
                <m:r>
                  <m:t>=</m:t>
                </m:r>
                <m:f>
                  <m:num>
                    <m:d>
                      <m:dPr>
                        <m:begChr m:val="("/>
                        <m:endChr m:val=")"/>
                      </m:dPr>
                      <m:e>
                        <m:sSub>
                          <m:e>
                            <m:sSub>
                              <m:e>
                                <m:r>
                                  <m:rPr>
                                    <m:sty m:val="i"/>
                                  </m:rPr>
                                  <m:t>G</m:t>
                                </m:r>
                              </m:e>
                              <m:sub>
                                <m:r>
                                  <m:rPr>
                                    <m:sty m:val="i"/>
                                  </m:rPr>
                                  <m:t>k</m:t>
                                </m:r>
                              </m:sub>
                            </m:sSub>
                          </m:e>
                          <m:sub>
                            <m:r>
                              <m:t>1</m:t>
                            </m:r>
                          </m:sub>
                        </m:sSub>
                        <m:sSub>
                          <m:e>
                            <m:r>
                              <m:rPr>
                                <m:sty m:val="i"/>
                              </m:rPr>
                              <m:t>F</m:t>
                            </m:r>
                          </m:e>
                          <m:sub>
                            <m:r>
                              <m:t>1</m:t>
                            </m:r>
                          </m:sub>
                        </m:sSub>
                        <m:r>
                          <m:t>+</m:t>
                        </m:r>
                        <m:sSub>
                          <m:e>
                            <m:sSub>
                              <m:e>
                                <m:r>
                                  <m:rPr>
                                    <m:sty m:val="i"/>
                                  </m:rPr>
                                  <m:t>G</m:t>
                                </m:r>
                              </m:e>
                              <m:sub>
                                <m:r>
                                  <m:rPr>
                                    <m:sty m:val="i"/>
                                  </m:rPr>
                                  <m:t>k</m:t>
                                </m:r>
                              </m:sub>
                            </m:sSub>
                          </m:e>
                          <m:sub>
                            <m:r>
                              <m:t>2</m:t>
                            </m:r>
                          </m:sub>
                        </m:sSub>
                        <m:sSub>
                          <m:e>
                            <m:r>
                              <m:rPr>
                                <m:sty m:val="i"/>
                              </m:rPr>
                              <m:t>F</m:t>
                            </m:r>
                          </m:e>
                          <m:sub>
                            <m:r>
                              <m:t>2</m:t>
                            </m:r>
                          </m:sub>
                        </m:sSub>
                      </m:e>
                    </m:d>
                  </m:num>
                  <m:den>
                    <m:d>
                      <m:dPr>
                        <m:begChr m:val="("/>
                        <m:endChr m:val=")"/>
                      </m:dPr>
                      <m:e>
                        <m:sSub>
                          <m:e>
                            <m:r>
                              <m:rPr>
                                <m:sty m:val="i"/>
                              </m:rPr>
                              <m:t>F</m:t>
                            </m:r>
                          </m:e>
                          <m:sub>
                            <m:r>
                              <m:t>1</m:t>
                            </m:r>
                          </m:sub>
                        </m:sSub>
                        <m:r>
                          <m:t>+</m:t>
                        </m:r>
                        <m:sSub>
                          <m:e>
                            <m:r>
                              <m:rPr>
                                <m:sty m:val="i"/>
                              </m:rPr>
                              <m:t>F</m:t>
                            </m:r>
                          </m:e>
                          <m:sub>
                            <m:r>
                              <m:t>2</m:t>
                            </m:r>
                          </m:sub>
                        </m:sSub>
                      </m:e>
                    </m:d>
                  </m:den>
                </m:f>
                <m:r>
                  <m:t>=</m:t>
                </m:r>
                <m:f>
                  <m:num>
                    <m:d>
                      <m:dPr>
                        <m:begChr m:val="("/>
                        <m:endChr m:val=")"/>
                      </m:dPr>
                      <m:e>
                        <m:r>
                          <m:t>0.1894</m:t>
                        </m:r>
                        <m:r>
                          <m:t>·</m:t>
                        </m:r>
                        <m:r>
                          <m:t>0.25</m:t>
                        </m:r>
                        <m:r>
                          <m:t>+</m:t>
                        </m:r>
                        <m:r>
                          <m:t>0.095</m:t>
                        </m:r>
                        <m:r>
                          <m:t>·</m:t>
                        </m:r>
                        <m:r>
                          <m:t>0.75</m:t>
                        </m:r>
                      </m:e>
                    </m:d>
                  </m:num>
                  <m:den>
                    <m:d>
                      <m:dPr>
                        <m:begChr m:val="("/>
                        <m:endChr m:val=")"/>
                      </m:dPr>
                      <m:e>
                        <m:r>
                          <m:t>0.25</m:t>
                        </m:r>
                        <m:r>
                          <m:t>+</m:t>
                        </m:r>
                        <m:r>
                          <m:t>0.75</m:t>
                        </m:r>
                      </m:e>
                    </m:d>
                  </m:den>
                </m:f>
                <m:r>
                  <m:t>=</m:t>
                </m:r>
                <m:r>
                  <m:t>0.1186</m:t>
                </m:r>
                <m:r>
                  <m:t xml:space="preserve"> </m:t>
                </m:r>
                <m:f>
                  <m:num>
                    <m:r>
                      <m:t>кг</m:t>
                    </m:r>
                  </m:num>
                  <m:den>
                    <m:sSup>
                      <m:e>
                        <m:r>
                          <m:t>м</m:t>
                        </m:r>
                      </m:e>
                      <m:sup>
                        <m:r>
                          <m:t>2</m:t>
                        </m:r>
                      </m:sup>
                    </m:sSup>
                    <m:r>
                      <m:t>·</m:t>
                    </m:r>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2" w:name="CadEE_Target_122"/>
            <w:r>
              <w:fldChar w:fldCharType="begin"/>
            </w:r>
            <w:r>
              <w:instrText xml:space="preserve"> SEQ CadEE_Formula \* ARABIC </w:instrText>
            </w:r>
            <w:r>
              <w:fldChar w:fldCharType="separate"/>
            </w:r>
            <w:r>
              <w:t xml:space="preserve">44</w:t>
            </w:r>
            <w:r>
              <w:fldChar w:fldCharType="end"/>
            </w:r>
            <w:bookmarkEnd w:id="122"/>
            <w:r>
              <w:t>)</w:t>
            </w:r>
          </w:p>
        </w:tc>
      </w:tr>
    </w:tbl>
    <w:p>
      <w:pPr>
        <w:pStyle w:val="CadEENormalText"/>
      </w:pPr>
      <w:r>
        <w:t xml:space="preserve">де </w:t>
      </w:r>
      <w:r>
        <w:rPr>
          <w:rFonts w:ascii="Cambria Math" w:hAnsi="Cambria Math" w:eastAsia="Cambria Math" w:cs="Cambria Math"/>
        </w:rPr>
        <w:t xml:space="preserve">G</w:t>
      </w:r>
      <w:r>
        <w:rPr>
          <w:rFonts w:ascii="Cambria Math" w:hAnsi="Cambria Math" w:eastAsia="Cambria Math" w:cs="Cambria Math"/>
          <w:vertAlign w:val="subscript"/>
        </w:rPr>
        <w:t xml:space="preserve">k 1</w:t>
      </w:r>
      <w:r>
        <w:t xml:space="preserve">, </w:t>
      </w:r>
      <w:r>
        <w:rPr>
          <w:rFonts w:ascii="Cambria Math" w:hAnsi="Cambria Math" w:eastAsia="Cambria Math" w:cs="Cambria Math"/>
        </w:rPr>
        <w:t xml:space="preserve">G</w:t>
      </w:r>
      <w:r>
        <w:rPr>
          <w:rFonts w:ascii="Cambria Math" w:hAnsi="Cambria Math" w:eastAsia="Cambria Math" w:cs="Cambria Math"/>
          <w:vertAlign w:val="subscript"/>
        </w:rPr>
        <w:t xml:space="preserve">k 2</w:t>
      </w:r>
      <w:r>
        <w:t xml:space="preserve"> - повітропроникність унікального варіанта конструкції, див. п. </w:t>
      </w:r>
      <w:r>
        <w:fldChar w:fldCharType="begin"/>
      </w:r>
      <w:r>
        <w:instrText xml:space="preserve"> REF CadEE_Target_104 \n \h </w:instrText>
      </w:r>
      <w:r>
        <w:fldChar w:fldCharType="separate"/>
      </w:r>
      <w:r>
        <w:t xml:space="preserve">1.3.7.2</w:t>
      </w:r>
      <w:r>
        <w:fldChar w:fldCharType="end"/>
      </w:r>
      <w:r>
        <w:t xml:space="preserve">, </w:t>
      </w:r>
      <w:r>
        <w:fldChar w:fldCharType="begin"/>
      </w:r>
      <w:r>
        <w:instrText xml:space="preserve"> REF CadEE_Target_117 \n \h </w:instrText>
      </w:r>
      <w:r>
        <w:fldChar w:fldCharType="separate"/>
      </w:r>
      <w:r>
        <w:t xml:space="preserve">1.3.7.5</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1</w:t>
      </w:r>
      <w:r>
        <w:t xml:space="preserve">, див. п. </w:t>
      </w:r>
      <w:r>
        <w:fldChar w:fldCharType="begin"/>
      </w:r>
      <w:r>
        <w:instrText xml:space="preserve"> REF CadEE_Target_106 \n \h </w:instrText>
      </w:r>
      <w:r>
        <w:fldChar w:fldCharType="separate"/>
      </w:r>
      <w:r>
        <w:t xml:space="preserve">1.3.7.3</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2</w:t>
      </w:r>
      <w:r>
        <w:t xml:space="preserve">, див. п. </w:t>
      </w:r>
      <w:r>
        <w:fldChar w:fldCharType="begin"/>
      </w:r>
      <w:r>
        <w:instrText xml:space="preserve"> REF CadEE_Target_119 \n \h </w:instrText>
      </w:r>
      <w:r>
        <w:fldChar w:fldCharType="separate"/>
      </w:r>
      <w:r>
        <w:t xml:space="preserve">1.3.7.6</w:t>
      </w:r>
      <w:r>
        <w:fldChar w:fldCharType="end"/>
      </w:r>
      <w:r>
        <w:t xml:space="preserve">.</w:t>
      </w:r>
    </w:p>
    <w:p>
      <w:pPr>
        <w:pStyle w:val="CadEENormalText"/>
        <w:numPr>
          <w:ilvl w:val="2"/>
          <w:numId w:val="1"/>
        </w:numPr>
      </w:pPr>
      <w:bookmarkStart w:id="123" w:name="CadEE_Target_123"/>
      <w:r>
        <w:t xml:space="preserve">Допустиму повітропроникність G_n приймаємо згідно з ДСТУ-Н Б В.2.6-191:2013, п. 4, таблиця 1, як для непрозорої огороджувальної конструкції та будівлі типу - одноквартирний будинок.</w:t>
      </w:r>
      <w:bookmarkEnd w:id="12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G</m:t>
                    </m:r>
                  </m:e>
                  <m:sub>
                    <m:r>
                      <m:rPr>
                        <m:sty m:val="i"/>
                      </m:rPr>
                      <m:t>n</m:t>
                    </m:r>
                  </m:sub>
                </m:sSub>
                <m:r>
                  <m:t>=</m:t>
                </m:r>
                <m:r>
                  <m:t>0.4</m:t>
                </m:r>
                <m:f>
                  <m:num>
                    <m:r>
                      <m:t>кг</m:t>
                    </m:r>
                  </m:num>
                  <m:den>
                    <m:sSup>
                      <m:e>
                        <m:r>
                          <m:t>м</m:t>
                        </m:r>
                      </m:e>
                      <m:sup>
                        <m:r>
                          <m:t>2</m:t>
                        </m:r>
                      </m:sup>
                    </m:sSup>
                    <m:r>
                      <m:t>·</m:t>
                    </m:r>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4" w:name="CadEE_Target_124"/>
            <w:r>
              <w:fldChar w:fldCharType="begin"/>
            </w:r>
            <w:r>
              <w:instrText xml:space="preserve"> SEQ CadEE_Formula \* ARABIC </w:instrText>
            </w:r>
            <w:r>
              <w:fldChar w:fldCharType="separate"/>
            </w:r>
            <w:r>
              <w:t xml:space="preserve">45</w:t>
            </w:r>
            <w:r>
              <w:fldChar w:fldCharType="end"/>
            </w:r>
            <w:bookmarkEnd w:id="124"/>
            <w:r>
              <w:t>)</w:t>
            </w:r>
          </w:p>
        </w:tc>
      </w:tr>
    </w:tbl>
    <w:p>
      <w:pPr>
        <w:pStyle w:val="CadEENormalText"/>
        <w:numPr>
          <w:ilvl w:val="2"/>
          <w:numId w:val="1"/>
        </w:numPr>
      </w:pPr>
      <w:bookmarkStart w:id="125" w:name="CadEE_Target_125"/>
      <w:r>
        <w:t xml:space="preserve">Перевірку повітропроникності огороджувальної конструкції виконуємо згідно з ДСТУ-Н Б В.2.6-191:2013, п. 4, формула (1).</w:t>
      </w:r>
      <w:bookmarkEnd w:id="125"/>
    </w:p>
    <w:p>
      <w:pPr>
        <w:pStyle w:val="CadEEEquationStyle"/>
      </w:pPr>
      <m:oMathPara>
        <m:oMath>
          <m:sSub>
            <m:e>
              <m:r>
                <m:rPr>
                  <m:sty m:val="i"/>
                </m:rPr>
                <m:t>G</m:t>
              </m:r>
            </m:e>
            <m:sub>
              <m:r>
                <m:rPr>
                  <m:sty m:val="i"/>
                </m:rPr>
                <m:t>k</m:t>
              </m:r>
            </m:sub>
          </m:sSub>
          <m:r>
            <m:t>=</m:t>
          </m:r>
          <m:r>
            <m:t>0.12</m:t>
          </m:r>
          <m:f>
            <m:num>
              <m:r>
                <m:t>кг</m:t>
              </m:r>
            </m:num>
            <m:den>
              <m:sSup>
                <m:e>
                  <m:r>
                    <m:t>м</m:t>
                  </m:r>
                </m:e>
                <m:sup>
                  <m:r>
                    <m:t>2</m:t>
                  </m:r>
                </m:sup>
              </m:sSup>
              <m:r>
                <m:t>·</m:t>
              </m:r>
              <m:r>
                <m:t>год</m:t>
              </m:r>
            </m:den>
          </m:f>
          <m:r>
            <m:t xml:space="preserve"> </m:t>
          </m:r>
          <m:r>
            <m:t>&lt;</m:t>
          </m:r>
          <m:r>
            <m:t xml:space="preserve"> </m:t>
          </m:r>
          <m:sSub>
            <m:e>
              <m:r>
                <m:rPr>
                  <m:sty m:val="i"/>
                </m:rPr>
                <m:t>G</m:t>
              </m:r>
            </m:e>
            <m:sub>
              <m:r>
                <m:rPr>
                  <m:sty m:val="i"/>
                </m:rPr>
                <m:t>n</m:t>
              </m:r>
            </m:sub>
          </m:sSub>
          <m:r>
            <m:t>=</m:t>
          </m:r>
          <m:r>
            <m:t>0.4</m:t>
          </m:r>
          <m:f>
            <m:num>
              <m:r>
                <m:t>кг</m:t>
              </m:r>
            </m:num>
            <m:den>
              <m:sSup>
                <m:e>
                  <m:r>
                    <m:t>м</m:t>
                  </m:r>
                </m:e>
                <m:sup>
                  <m:r>
                    <m:t>2</m:t>
                  </m:r>
                </m:sup>
              </m:sSup>
              <m:r>
                <m:t>·</m:t>
              </m:r>
              <m:r>
                <m:t>год</m:t>
              </m:r>
            </m:den>
          </m:f>
        </m:oMath>
      </m:oMathPara>
    </w:p>
    <w:p>
      <w:pPr>
        <w:pStyle w:val="CadEENormalText"/>
        <w:numPr>
          <w:ilvl w:val="2"/>
          <w:numId w:val="1"/>
        </w:numPr>
      </w:pPr>
      <w:bookmarkStart w:id="127" w:name="CadEE_Target_127"/>
      <w:r>
        <w:t xml:space="preserve">Умова повітропроникності огороджувальної конструкції згідно з ДСТУ-Н Б В.2.6-191:2013, п. 4, формула (1) - виконується.</w:t>
      </w:r>
      <w:bookmarkEnd w:id="127"/>
    </w:p>
    <w:p>
      <w:pPr>
        <w:pStyle w:val="CadEEHeadingLevel2"/>
        <w:numPr>
          <w:ilvl w:val="1"/>
          <w:numId w:val="1"/>
        </w:numPr>
      </w:pPr>
      <w:bookmarkStart w:id="128" w:name="CadEE_Target_128"/>
      <w:r>
        <w:t xml:space="preserve">Оцінка теплостійкості в літній період. стіна №1. </w:t>
      </w:r>
      <w:bookmarkEnd w:id="128"/>
    </w:p>
    <w:p>
      <w:pPr>
        <w:pStyle w:val="CadEENormalText"/>
      </w:pPr>
      <w:r>
        <w:t xml:space="preserve">Оцінку теплостійкості в літній період виконуємо згідно з вимогами ДСТУ-Н Б В.2.6-190:2013.</w:t>
      </w:r>
    </w:p>
    <w:p>
      <w:pPr>
        <w:pStyle w:val="CadEENormalText"/>
        <w:numPr>
          <w:ilvl w:val="2"/>
          <w:numId w:val="1"/>
        </w:numPr>
      </w:pPr>
      <w:bookmarkStart w:id="129" w:name="CadEE_Target_129"/>
      <w:r>
        <w:t xml:space="preserve">Вихідні дані</w:t>
      </w:r>
      <w:bookmarkEnd w:id="129"/>
    </w:p>
    <w:p>
      <w:pPr>
        <w:pStyle w:val="CadEENormalText"/>
      </w:pPr>
      <w:r>
        <w:t xml:space="preserve">Параметри клімату району будівництва наведені в таблиці:</w:t>
      </w:r>
    </w:p>
    <w:p>
      <w:pPr>
        <w:pStyle w:val="CadEETableCaption"/>
      </w:pPr>
      <w:r>
        <w:t xml:space="preserve">Таблиця №</w:t>
      </w:r>
      <w:bookmarkStart w:id="130" w:name="CadEE_Target_130"/>
      <w:r>
        <w:fldChar w:fldCharType="begin"/>
      </w:r>
      <w:r>
        <w:instrText xml:space="preserve"> SEQ CadEE_Table \* ARABIC </w:instrText>
      </w:r>
      <w:r>
        <w:fldChar w:fldCharType="separate"/>
      </w:r>
      <w:r>
        <w:t xml:space="preserve">1.6</w:t>
      </w:r>
      <w:r>
        <w:fldChar w:fldCharType="end"/>
      </w:r>
      <w:bookmarkEnd w:id="130"/>
      <w:r>
        <w:t xml:space="preserve">. Розрахункові параметри клімату м. Львів</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8352"/>
        <w:gridCol w:w="1983"/>
      </w:tblGrid>
      <w:tr>
        <w:trPr>
          <w:tblHeader/>
        </w:trPr>
        <w:tc>
          <w:tcPr>
            <w:tcW w:w="8352" w:type="dxa"/>
            <w:vAlign w:val="center"/>
            <w:tcMar>
              <w:top w:w="60" w:type="dxa"/>
              <w:left w:w="70" w:type="dxa"/>
              <w:bottom w:w="60" w:type="dxa"/>
              <w:right w:w="70" w:type="dxa"/>
            </w:tcMar>
            <w:shd w:val="clear" w:color="auto" w:fill="EDEDED"/>
          </w:tcPr>
          <w:p>
            <w:pPr>
              <w:pStyle w:val="CadEETableHeadStyle"/>
            </w:pPr>
            <w:r>
              <w:rPr>
                <w:b/>
              </w:rPr>
              <w:t>Назва параметра</w:t>
            </w:r>
          </w:p>
        </w:tc>
        <w:tc>
          <w:tcPr>
            <w:tcW w:w="1983" w:type="dxa"/>
            <w:vAlign w:val="center"/>
            <w:tcMar>
              <w:top w:w="60" w:type="dxa"/>
              <w:left w:w="70" w:type="dxa"/>
              <w:bottom w:w="60" w:type="dxa"/>
              <w:right w:w="70" w:type="dxa"/>
            </w:tcMar>
            <w:shd w:val="clear" w:color="auto" w:fill="EDEDED"/>
          </w:tcPr>
          <w:p>
            <w:pPr>
              <w:pStyle w:val="CadEETableHeadStyle"/>
            </w:pPr>
            <w:r>
              <w:rPr>
                <w:b/>
              </w:rPr>
              <w:t>Значення</w:t>
            </w:r>
          </w:p>
        </w:tc>
      </w:tr>
      <w:tr>
        <w:tc>
          <w:tcPr>
            <w:tcW w:w="8352" w:type="dxa"/>
            <w:vAlign w:val="center"/>
            <w:tcMar>
              <w:top w:w="60" w:type="dxa"/>
              <w:left w:w="70" w:type="dxa"/>
              <w:bottom w:w="60" w:type="dxa"/>
              <w:right w:w="70" w:type="dxa"/>
            </w:tcMar>
          </w:tcPr>
          <w:p>
            <w:pPr>
              <w:pStyle w:val="CadEETableStyle"/>
            </w:pPr>
            <w:r>
              <w:t>Середня температура липня, °С (табл. 2 ДСТУ -Н Б В.1.1-27:2010)</w:t>
            </w:r>
          </w:p>
        </w:tc>
        <w:tc>
          <w:tcPr>
            <w:tcW w:w="1983" w:type="dxa"/>
            <w:vAlign w:val="center"/>
            <w:tcMar>
              <w:top w:w="60" w:type="dxa"/>
              <w:left w:w="70" w:type="dxa"/>
              <w:bottom w:w="60" w:type="dxa"/>
              <w:right w:w="70" w:type="dxa"/>
            </w:tcMar>
          </w:tcPr>
          <w:p>
            <w:pPr>
              <w:pStyle w:val="CadEETableStyle"/>
            </w:pPr>
            <w:r>
              <w:t>17.70</w:t>
            </w:r>
          </w:p>
        </w:tc>
      </w:tr>
      <w:tr>
        <w:tc>
          <w:tcPr>
            <w:tcW w:w="8352" w:type="dxa"/>
            <w:vAlign w:val="center"/>
            <w:tcMar>
              <w:top w:w="60" w:type="dxa"/>
              <w:left w:w="70" w:type="dxa"/>
              <w:bottom w:w="60" w:type="dxa"/>
              <w:right w:w="70" w:type="dxa"/>
            </w:tcMar>
          </w:tcPr>
          <w:p>
            <w:pPr>
              <w:pStyle w:val="CadEETableStyle"/>
            </w:pPr>
            <w:r>
              <w:t>Середня амплітуда добових коливань температури зовнішнього повітря в липні Аtз, °С (табл. 2 ДСТУ -Н Б В.1.1-27:2010)</w:t>
            </w:r>
          </w:p>
        </w:tc>
        <w:tc>
          <w:tcPr>
            <w:tcW w:w="1983" w:type="dxa"/>
            <w:vAlign w:val="center"/>
            <w:tcMar>
              <w:top w:w="60" w:type="dxa"/>
              <w:left w:w="70" w:type="dxa"/>
              <w:bottom w:w="60" w:type="dxa"/>
              <w:right w:w="70" w:type="dxa"/>
            </w:tcMar>
          </w:tcPr>
          <w:p>
            <w:pPr>
              <w:pStyle w:val="CadEETableStyle"/>
            </w:pPr>
            <w:r>
              <w:t>10.20</w:t>
            </w:r>
          </w:p>
        </w:tc>
      </w:tr>
      <w:tr>
        <w:tc>
          <w:tcPr>
            <w:tcW w:w="8352" w:type="dxa"/>
            <w:vAlign w:val="center"/>
            <w:tcMar>
              <w:top w:w="60" w:type="dxa"/>
              <w:left w:w="70" w:type="dxa"/>
              <w:bottom w:w="60" w:type="dxa"/>
              <w:right w:w="70" w:type="dxa"/>
            </w:tcMar>
          </w:tcPr>
          <w:p>
            <w:pPr>
              <w:pStyle w:val="CadEETableStyle"/>
            </w:pPr>
            <w:r>
              <w:t>Максимальне значення сумарної сонячної радіації, що надходить на вертикальну поверхню західної орієнтації в липні Imax, Вт/м2 (табл. 17 ДСТУ-Н Б В.1.1-27:2010)</w:t>
            </w:r>
          </w:p>
        </w:tc>
        <w:tc>
          <w:tcPr>
            <w:tcW w:w="1983" w:type="dxa"/>
            <w:vAlign w:val="center"/>
            <w:tcMar>
              <w:top w:w="60" w:type="dxa"/>
              <w:left w:w="70" w:type="dxa"/>
              <w:bottom w:w="60" w:type="dxa"/>
              <w:right w:w="70" w:type="dxa"/>
            </w:tcMar>
          </w:tcPr>
          <w:p>
            <w:pPr>
              <w:pStyle w:val="CadEETableStyle"/>
            </w:pPr>
            <w:r>
              <w:t>658</w:t>
            </w:r>
          </w:p>
        </w:tc>
      </w:tr>
      <w:tr>
        <w:tc>
          <w:tcPr>
            <w:tcW w:w="8352" w:type="dxa"/>
            <w:vAlign w:val="center"/>
            <w:tcMar>
              <w:top w:w="60" w:type="dxa"/>
              <w:left w:w="70" w:type="dxa"/>
              <w:bottom w:w="60" w:type="dxa"/>
              <w:right w:w="70" w:type="dxa"/>
            </w:tcMar>
          </w:tcPr>
          <w:p>
            <w:pPr>
              <w:pStyle w:val="CadEETableStyle"/>
            </w:pPr>
            <w:r>
              <w:t>Середнє значення сумарної сонячної радіації, що надходить на вертикальну поверхню в липні Iсер, Вт/м2 (табл. 17 ДСТУ-Н Б В.1.1-27:2010)</w:t>
            </w:r>
          </w:p>
        </w:tc>
        <w:tc>
          <w:tcPr>
            <w:tcW w:w="1983" w:type="dxa"/>
            <w:vAlign w:val="center"/>
            <w:tcMar>
              <w:top w:w="60" w:type="dxa"/>
              <w:left w:w="70" w:type="dxa"/>
              <w:bottom w:w="60" w:type="dxa"/>
              <w:right w:w="70" w:type="dxa"/>
            </w:tcMar>
          </w:tcPr>
          <w:p>
            <w:pPr>
              <w:pStyle w:val="CadEETableStyle"/>
            </w:pPr>
            <w:r>
              <w:t>162</w:t>
            </w:r>
          </w:p>
        </w:tc>
      </w:tr>
      <w:tr>
        <w:tc>
          <w:tcPr>
            <w:tcW w:w="8352" w:type="dxa"/>
            <w:vAlign w:val="center"/>
            <w:tcMar>
              <w:top w:w="60" w:type="dxa"/>
              <w:left w:w="70" w:type="dxa"/>
              <w:bottom w:w="60" w:type="dxa"/>
              <w:right w:w="70" w:type="dxa"/>
            </w:tcMar>
          </w:tcPr>
          <w:p>
            <w:pPr>
              <w:pStyle w:val="CadEETableStyle"/>
            </w:pPr>
            <w:r>
              <w:t>Мінімальна з середніх швидкостей вітру по румбах за липень, повторюваність яких становить 16% і більше υ, м/с(табл. 6 ДСТУ-Н Б В.1.1-27:2010)</w:t>
            </w:r>
          </w:p>
        </w:tc>
        <w:tc>
          <w:tcPr>
            <w:tcW w:w="1983" w:type="dxa"/>
            <w:vAlign w:val="center"/>
            <w:tcMar>
              <w:top w:w="60" w:type="dxa"/>
              <w:left w:w="70" w:type="dxa"/>
              <w:bottom w:w="60" w:type="dxa"/>
              <w:right w:w="70" w:type="dxa"/>
            </w:tcMar>
          </w:tcPr>
          <w:p>
            <w:pPr>
              <w:pStyle w:val="CadEETableStyle"/>
            </w:pPr>
            <w:r>
              <w:t>4.20</w:t>
            </w:r>
          </w:p>
        </w:tc>
      </w:tr>
    </w:tbl>
    <w:p>
      <w:pPr>
        <w:spacing w:before="0" w:after="0" w:line="80" w:lineRule="exact"/>
      </w:pPr>
    </w:p>
    <w:p>
      <w:pPr>
        <w:pStyle w:val="CadEENormalText"/>
      </w:pPr>
      <w:r>
        <w:t xml:space="preserve">Параметри мікроклімату приміщення наведені в таблиці:</w:t>
      </w:r>
    </w:p>
    <w:p>
      <w:pPr>
        <w:pStyle w:val="CadEETableCaption"/>
      </w:pPr>
      <w:r>
        <w:t xml:space="preserve">Таблиця №</w:t>
      </w:r>
      <w:bookmarkStart w:id="131" w:name="CadEE_Target_131"/>
      <w:r>
        <w:fldChar w:fldCharType="begin"/>
      </w:r>
      <w:r>
        <w:instrText xml:space="preserve"> SEQ CadEE_Table \* ARABIC </w:instrText>
      </w:r>
      <w:r>
        <w:fldChar w:fldCharType="separate"/>
      </w:r>
      <w:r>
        <w:t xml:space="preserve">1.7</w:t>
      </w:r>
      <w:r>
        <w:fldChar w:fldCharType="end"/>
      </w:r>
      <w:bookmarkEnd w:id="131"/>
      <w:r>
        <w:t xml:space="preserve">. Розрахункові параметри мікроклімату в приміщенні (Львів)</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8352"/>
        <w:gridCol w:w="1983"/>
      </w:tblGrid>
      <w:tr>
        <w:trPr>
          <w:tblHeader/>
        </w:trPr>
        <w:tc>
          <w:tcPr>
            <w:tcW w:w="8352" w:type="dxa"/>
            <w:vAlign w:val="center"/>
            <w:tcMar>
              <w:top w:w="60" w:type="dxa"/>
              <w:left w:w="70" w:type="dxa"/>
              <w:bottom w:w="60" w:type="dxa"/>
              <w:right w:w="70" w:type="dxa"/>
            </w:tcMar>
            <w:shd w:val="clear" w:color="auto" w:fill="EDEDED"/>
          </w:tcPr>
          <w:p>
            <w:pPr>
              <w:pStyle w:val="CadEETableHeadStyle"/>
            </w:pPr>
            <w:r>
              <w:rPr>
                <w:b/>
              </w:rPr>
              <w:t>Назва параметра</w:t>
            </w:r>
          </w:p>
        </w:tc>
        <w:tc>
          <w:tcPr>
            <w:tcW w:w="1983" w:type="dxa"/>
            <w:vAlign w:val="center"/>
            <w:tcMar>
              <w:top w:w="60" w:type="dxa"/>
              <w:left w:w="70" w:type="dxa"/>
              <w:bottom w:w="60" w:type="dxa"/>
              <w:right w:w="70" w:type="dxa"/>
            </w:tcMar>
            <w:shd w:val="clear" w:color="auto" w:fill="EDEDED"/>
          </w:tcPr>
          <w:p>
            <w:pPr>
              <w:pStyle w:val="CadEETableHeadStyle"/>
            </w:pPr>
            <w:r>
              <w:rPr>
                <w:b/>
              </w:rPr>
              <w:t>Значення</w:t>
            </w:r>
          </w:p>
        </w:tc>
      </w:tr>
      <w:tr>
        <w:tc>
          <w:tcPr>
            <w:tcW w:w="8352" w:type="dxa"/>
            <w:vAlign w:val="center"/>
            <w:tcMar>
              <w:top w:w="60" w:type="dxa"/>
              <w:left w:w="70" w:type="dxa"/>
              <w:bottom w:w="60" w:type="dxa"/>
              <w:right w:w="70" w:type="dxa"/>
            </w:tcMar>
          </w:tcPr>
          <w:p>
            <w:pPr>
              <w:pStyle w:val="CadEETableStyle"/>
            </w:pPr>
            <w:r>
              <w:t>Температура внутрішнього повітря tвн, °С (згідно з таблицею Б.2 ДБН В.2.6-31:2021)</w:t>
            </w:r>
          </w:p>
        </w:tc>
        <w:tc>
          <w:tcPr>
            <w:tcW w:w="1983" w:type="dxa"/>
            <w:vAlign w:val="center"/>
            <w:tcMar>
              <w:top w:w="60" w:type="dxa"/>
              <w:left w:w="70" w:type="dxa"/>
              <w:bottom w:w="60" w:type="dxa"/>
              <w:right w:w="70" w:type="dxa"/>
            </w:tcMar>
          </w:tcPr>
          <w:p>
            <w:pPr>
              <w:pStyle w:val="CadEETableStyle"/>
            </w:pPr>
            <w:r>
              <w:t>20.00</w:t>
            </w:r>
          </w:p>
        </w:tc>
      </w:tr>
      <w:tr>
        <w:tc>
          <w:tcPr>
            <w:tcW w:w="8352" w:type="dxa"/>
            <w:vAlign w:val="center"/>
            <w:tcMar>
              <w:top w:w="60" w:type="dxa"/>
              <w:left w:w="70" w:type="dxa"/>
              <w:bottom w:w="60" w:type="dxa"/>
              <w:right w:w="70" w:type="dxa"/>
            </w:tcMar>
          </w:tcPr>
          <w:p>
            <w:pPr>
              <w:pStyle w:val="CadEETableStyle"/>
            </w:pPr>
            <w:r>
              <w:t>Вологість внутрішнього повітря φвн, % (згідно з таблицею Б.2 ДБН В.2.6-31:2021)</w:t>
            </w:r>
          </w:p>
        </w:tc>
        <w:tc>
          <w:tcPr>
            <w:tcW w:w="1983" w:type="dxa"/>
            <w:vAlign w:val="center"/>
            <w:tcMar>
              <w:top w:w="60" w:type="dxa"/>
              <w:left w:w="70" w:type="dxa"/>
              <w:bottom w:w="60" w:type="dxa"/>
              <w:right w:w="70" w:type="dxa"/>
            </w:tcMar>
          </w:tcPr>
          <w:p>
            <w:pPr>
              <w:pStyle w:val="CadEETableStyle"/>
            </w:pPr>
            <w:r>
              <w:t>55.00</w:t>
            </w:r>
          </w:p>
        </w:tc>
      </w:tr>
      <w:tr>
        <w:tc>
          <w:tcPr>
            <w:tcW w:w="8352" w:type="dxa"/>
            <w:vAlign w:val="center"/>
            <w:tcMar>
              <w:top w:w="60" w:type="dxa"/>
              <w:left w:w="70" w:type="dxa"/>
              <w:bottom w:w="60" w:type="dxa"/>
              <w:right w:w="70" w:type="dxa"/>
            </w:tcMar>
          </w:tcPr>
          <w:p>
            <w:pPr>
              <w:pStyle w:val="CadEETableStyle"/>
            </w:pPr>
            <w:r>
              <w:t>Вологісний режим приміщення</w:t>
            </w:r>
          </w:p>
        </w:tc>
        <w:tc>
          <w:tcPr>
            <w:tcW w:w="1983" w:type="dxa"/>
            <w:vAlign w:val="center"/>
            <w:tcMar>
              <w:top w:w="60" w:type="dxa"/>
              <w:left w:w="70" w:type="dxa"/>
              <w:bottom w:w="60" w:type="dxa"/>
              <w:right w:w="70" w:type="dxa"/>
            </w:tcMar>
          </w:tcPr>
          <w:p>
            <w:pPr>
              <w:pStyle w:val="CadEETableStyle"/>
            </w:pPr>
            <w:r>
              <w:t>нормальний</w:t>
            </w:r>
          </w:p>
        </w:tc>
      </w:tr>
    </w:tbl>
    <w:p>
      <w:pPr>
        <w:spacing w:before="0" w:after="0" w:line="80" w:lineRule="exact"/>
      </w:pPr>
    </w:p>
    <w:p>
      <w:pPr>
        <w:pStyle w:val="CadEENormalText"/>
      </w:pPr>
      <w:r>
        <w:t xml:space="preserve">При розрахунках враховується основні шари конструкції, їхні теплофізичні характеристики приймаються згідно з Додатком А ДСТУ 9191:2022 Теплофізичні характеристики матеріалів шарів конструкції наведені в таблиці:</w:t>
      </w:r>
    </w:p>
    <w:p>
      <w:pPr>
        <w:pStyle w:val="CadEETableCaption"/>
      </w:pPr>
      <w:r>
        <w:t xml:space="preserve">Таблиця №</w:t>
      </w:r>
      <w:bookmarkStart w:id="132" w:name="CadEE_Target_132"/>
      <w:r>
        <w:fldChar w:fldCharType="begin"/>
      </w:r>
      <w:r>
        <w:instrText xml:space="preserve"> SEQ CadEE_Table \* ARABIC </w:instrText>
      </w:r>
      <w:r>
        <w:fldChar w:fldCharType="separate"/>
      </w:r>
      <w:r>
        <w:t xml:space="preserve">1.8</w:t>
      </w:r>
      <w:r>
        <w:fldChar w:fldCharType="end"/>
      </w:r>
      <w:bookmarkEnd w:id="132"/>
      <w:r>
        <w:t xml:space="preserve">. Характеристики матеріалів шарів конструкції</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516"/>
        <w:gridCol w:w="4651"/>
        <w:gridCol w:w="1033"/>
        <w:gridCol w:w="1033"/>
        <w:gridCol w:w="1550"/>
        <w:gridCol w:w="1550"/>
      </w:tblGrid>
      <w:tr>
        <w:trPr>
          <w:tblHeader/>
        </w:trPr>
        <w:tc>
          <w:tcPr>
            <w:tcW w:w="516" w:type="dxa"/>
            <w:vAlign w:val="center"/>
            <w:tcMar>
              <w:top w:w="60" w:type="dxa"/>
              <w:left w:w="70" w:type="dxa"/>
              <w:bottom w:w="60" w:type="dxa"/>
              <w:right w:w="70" w:type="dxa"/>
            </w:tcMar>
            <w:tcBorders>
              <w:bottom w:val="nil"/>
            </w:tcBorders>
            <w:shd w:val="clear" w:color="auto" w:fill="EDEDED"/>
          </w:tcPr>
          <w:p>
            <w:pPr>
              <w:pStyle w:val="CadEETableHeadStyle"/>
            </w:pPr>
            <w:r>
              <w:rPr>
                <w:b/>
              </w:rPr>
              <w:t>№</w:t>
            </w:r>
          </w:p>
        </w:tc>
        <w:tc>
          <w:tcPr>
            <w:tcW w:w="4651" w:type="dxa"/>
            <w:vAlign w:val="center"/>
            <w:tcMar>
              <w:top w:w="60" w:type="dxa"/>
              <w:left w:w="70" w:type="dxa"/>
              <w:bottom w:w="60" w:type="dxa"/>
              <w:right w:w="70" w:type="dxa"/>
            </w:tcMar>
            <w:tcBorders>
              <w:bottom w:val="nil"/>
            </w:tcBorders>
            <w:shd w:val="clear" w:color="auto" w:fill="EDEDED"/>
          </w:tcPr>
          <w:p>
            <w:pPr>
              <w:pStyle w:val="CadEETableHeadStyle"/>
            </w:pPr>
            <w:r>
              <w:rPr>
                <w:b/>
              </w:rPr>
              <w:t>Назва шару</w:t>
            </w:r>
          </w:p>
        </w:tc>
        <w:tc>
          <w:tcPr>
            <w:tcW w:w="1033" w:type="dxa"/>
            <w:vAlign w:val="center"/>
            <w:tcMar>
              <w:top w:w="60" w:type="dxa"/>
              <w:left w:w="70" w:type="dxa"/>
              <w:bottom w:w="60" w:type="dxa"/>
              <w:right w:w="70" w:type="dxa"/>
            </w:tcMar>
            <w:tcBorders>
              <w:bottom w:val="nil"/>
            </w:tcBorders>
            <w:shd w:val="clear" w:color="auto" w:fill="EDEDED"/>
          </w:tcPr>
          <w:p>
            <w:pPr>
              <w:pStyle w:val="CadEETableHeadStyle"/>
            </w:pPr>
            <w:r>
              <w:rPr>
                <w:b/>
              </w:rPr>
              <w:t>Товщина,</w:t>
            </w:r>
          </w:p>
        </w:tc>
        <w:tc>
          <w:tcPr>
            <w:tcW w:w="1033" w:type="dxa"/>
            <w:vAlign w:val="center"/>
            <w:tcMar>
              <w:top w:w="60" w:type="dxa"/>
              <w:left w:w="70" w:type="dxa"/>
              <w:bottom w:w="60" w:type="dxa"/>
              <w:right w:w="70" w:type="dxa"/>
            </w:tcMar>
            <w:tcBorders>
              <w:bottom w:val="nil"/>
            </w:tcBorders>
            <w:shd w:val="clear" w:color="auto" w:fill="EDEDED"/>
          </w:tcPr>
          <w:p>
            <w:pPr>
              <w:pStyle w:val="CadEETableHeadStyle"/>
            </w:pPr>
            <w:r>
              <w:rPr>
                <w:b/>
              </w:rPr>
              <w:t>Густина ρ,</w:t>
            </w:r>
          </w:p>
        </w:tc>
        <w:tc>
          <w:tcPr>
            <w:tcW w:w="1550" w:type="dxa"/>
            <w:vAlign w:val="center"/>
            <w:tcMar>
              <w:top w:w="60" w:type="dxa"/>
              <w:left w:w="70" w:type="dxa"/>
              <w:bottom w:w="60" w:type="dxa"/>
              <w:right w:w="70" w:type="dxa"/>
            </w:tcMar>
            <w:tcBorders>
              <w:bottom w:val="nil"/>
            </w:tcBorders>
            <w:shd w:val="clear" w:color="auto" w:fill="EDEDED"/>
          </w:tcPr>
          <w:p>
            <w:pPr>
              <w:pStyle w:val="CadEETableHeadStyle"/>
            </w:pPr>
            <w:r>
              <w:rPr>
                <w:b/>
              </w:rPr>
              <w:t>Теплопровідність λ,</w:t>
            </w:r>
          </w:p>
        </w:tc>
        <w:tc>
          <w:tcPr>
            <w:tcW w:w="1550" w:type="dxa"/>
            <w:vAlign w:val="center"/>
            <w:tcMar>
              <w:top w:w="60" w:type="dxa"/>
              <w:left w:w="70" w:type="dxa"/>
              <w:bottom w:w="60" w:type="dxa"/>
              <w:right w:w="70" w:type="dxa"/>
            </w:tcMar>
            <w:tcBorders>
              <w:bottom w:val="nil"/>
            </w:tcBorders>
            <w:shd w:val="clear" w:color="auto" w:fill="EDEDED"/>
          </w:tcPr>
          <w:p>
            <w:pPr>
              <w:pStyle w:val="CadEETableHeadStyle"/>
            </w:pPr>
            <w:r>
              <w:rPr>
                <w:b/>
              </w:rPr>
              <w:t>Коефіцієнт теплозасвоєння s, </w:t>
            </w:r>
          </w:p>
        </w:tc>
      </w:tr>
      <w:tr>
        <w:trPr>
          <w:tblHeader/>
        </w:trPr>
        <w:tc>
          <w:tcPr>
            <w:tcW w:w="516"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4651"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1033" w:type="dxa"/>
            <w:vAlign w:val="center"/>
            <w:tcMar>
              <w:top w:w="60" w:type="dxa"/>
              <w:left w:w="70" w:type="dxa"/>
              <w:bottom w:w="60" w:type="dxa"/>
              <w:right w:w="70" w:type="dxa"/>
            </w:tcMar>
            <w:tcBorders>
              <w:top w:val="nil"/>
            </w:tcBorders>
            <w:shd w:val="clear" w:color="auto" w:fill="EDEDED"/>
          </w:tcPr>
          <w:p>
            <w:pPr>
              <w:pStyle w:val="CadEETableHeadStyle"/>
            </w:pPr>
            <w:r>
              <w:rPr>
                <w:b/>
              </w:rPr>
              <w:t>(м)</w:t>
            </w:r>
          </w:p>
        </w:tc>
        <w:tc>
          <w:tcPr>
            <w:tcW w:w="1033" w:type="dxa"/>
            <w:vAlign w:val="center"/>
            <w:tcMar>
              <w:top w:w="60" w:type="dxa"/>
              <w:left w:w="70" w:type="dxa"/>
              <w:bottom w:w="60" w:type="dxa"/>
              <w:right w:w="70" w:type="dxa"/>
            </w:tcMar>
            <w:tcBorders>
              <w:top w:val="nil"/>
            </w:tcBorders>
            <w:shd w:val="clear" w:color="auto" w:fill="EDEDED"/>
          </w:tcPr>
          <w:p>
            <w:pPr>
              <w:pStyle w:val="CadEETableHeadStyle"/>
            </w:pPr>
            <w:r>
              <w:rPr>
                <w:b/>
              </w:rPr>
              <w:t>кг/м³</w:t>
            </w:r>
          </w:p>
        </w:tc>
        <w:tc>
          <w:tcPr>
            <w:tcW w:w="1550" w:type="dxa"/>
            <w:vAlign w:val="center"/>
            <w:tcMar>
              <w:top w:w="60" w:type="dxa"/>
              <w:left w:w="70" w:type="dxa"/>
              <w:bottom w:w="60" w:type="dxa"/>
              <w:right w:w="70" w:type="dxa"/>
            </w:tcMar>
            <w:tcBorders>
              <w:top w:val="nil"/>
            </w:tcBorders>
            <w:shd w:val="clear" w:color="auto" w:fill="EDEDED"/>
          </w:tcPr>
          <w:p>
            <w:pPr>
              <w:pStyle w:val="CadEETableHeadStyle"/>
            </w:pPr>
            <w:r>
              <w:rPr>
                <w:b/>
              </w:rPr>
              <w:t>Вт/(м*K). Умови експл. А</w:t>
            </w:r>
          </w:p>
        </w:tc>
        <w:tc>
          <w:tcPr>
            <w:tcW w:w="1550" w:type="dxa"/>
            <w:vAlign w:val="center"/>
            <w:tcMar>
              <w:top w:w="60" w:type="dxa"/>
              <w:left w:w="70" w:type="dxa"/>
              <w:bottom w:w="60" w:type="dxa"/>
              <w:right w:w="70" w:type="dxa"/>
            </w:tcMar>
            <w:tcBorders>
              <w:top w:val="nil"/>
            </w:tcBorders>
            <w:shd w:val="clear" w:color="auto" w:fill="EDEDED"/>
          </w:tcPr>
          <w:p>
            <w:pPr>
              <w:pStyle w:val="CadEETableHeadStyle"/>
            </w:pPr>
            <w:r>
              <w:rPr>
                <w:b/>
              </w:rPr>
              <w:t>Вт/(м²K). Умови експл. А</w:t>
            </w:r>
          </w:p>
        </w:tc>
      </w:tr>
      <w:tr>
        <w:tc>
          <w:tcPr>
            <w:tcW w:w="516" w:type="dxa"/>
            <w:vAlign w:val="center"/>
            <w:tcMar>
              <w:top w:w="60" w:type="dxa"/>
              <w:left w:w="70" w:type="dxa"/>
              <w:bottom w:w="60" w:type="dxa"/>
              <w:right w:w="70" w:type="dxa"/>
            </w:tcMar>
          </w:tcPr>
          <w:p>
            <w:pPr>
              <w:pStyle w:val="CadEETableStyle"/>
            </w:pPr>
            <w:r>
              <w:t>1</w:t>
            </w:r>
          </w:p>
        </w:tc>
        <w:tc>
          <w:tcPr>
            <w:tcW w:w="4651" w:type="dxa"/>
            <w:vAlign w:val="center"/>
            <w:tcMar>
              <w:top w:w="60" w:type="dxa"/>
              <w:left w:w="70" w:type="dxa"/>
              <w:bottom w:w="60" w:type="dxa"/>
              <w:right w:w="70" w:type="dxa"/>
            </w:tcMar>
          </w:tcPr>
          <w:p>
            <w:pPr>
              <w:pStyle w:val="CadEETableStyle"/>
            </w:pPr>
            <w:r>
              <w:t>Спінений пінополістирол ρ=15 кг/м3</w:t>
            </w:r>
          </w:p>
        </w:tc>
        <w:tc>
          <w:tcPr>
            <w:tcW w:w="1033" w:type="dxa"/>
            <w:vAlign w:val="center"/>
            <w:tcMar>
              <w:top w:w="60" w:type="dxa"/>
              <w:left w:w="70" w:type="dxa"/>
              <w:bottom w:w="60" w:type="dxa"/>
              <w:right w:w="70" w:type="dxa"/>
            </w:tcMar>
          </w:tcPr>
          <w:p>
            <w:pPr>
              <w:pStyle w:val="CadEETableStyle"/>
            </w:pPr>
            <w:r>
              <w:t>0.05</w:t>
            </w:r>
          </w:p>
        </w:tc>
        <w:tc>
          <w:tcPr>
            <w:tcW w:w="1033" w:type="dxa"/>
            <w:vAlign w:val="center"/>
            <w:tcMar>
              <w:top w:w="60" w:type="dxa"/>
              <w:left w:w="70" w:type="dxa"/>
              <w:bottom w:w="60" w:type="dxa"/>
              <w:right w:w="70" w:type="dxa"/>
            </w:tcMar>
          </w:tcPr>
          <w:p>
            <w:pPr>
              <w:pStyle w:val="CadEETableStyle"/>
            </w:pPr>
            <w:r>
              <w:t>15</w:t>
            </w:r>
          </w:p>
        </w:tc>
        <w:tc>
          <w:tcPr>
            <w:tcW w:w="1550" w:type="dxa"/>
            <w:vAlign w:val="center"/>
            <w:tcMar>
              <w:top w:w="60" w:type="dxa"/>
              <w:left w:w="70" w:type="dxa"/>
              <w:bottom w:w="60" w:type="dxa"/>
              <w:right w:w="70" w:type="dxa"/>
            </w:tcMar>
          </w:tcPr>
          <w:p>
            <w:pPr>
              <w:pStyle w:val="CadEETableStyle"/>
            </w:pPr>
            <w:r>
              <w:t>0.045</w:t>
            </w:r>
          </w:p>
        </w:tc>
        <w:tc>
          <w:tcPr>
            <w:tcW w:w="1550" w:type="dxa"/>
            <w:vAlign w:val="center"/>
            <w:tcMar>
              <w:top w:w="60" w:type="dxa"/>
              <w:left w:w="70" w:type="dxa"/>
              <w:bottom w:w="60" w:type="dxa"/>
              <w:right w:w="70" w:type="dxa"/>
            </w:tcMar>
          </w:tcPr>
          <w:p>
            <w:pPr>
              <w:pStyle w:val="CadEETableStyle"/>
            </w:pPr>
            <w:r>
              <w:t>0.28</w:t>
            </w:r>
          </w:p>
        </w:tc>
      </w:tr>
      <w:tr>
        <w:tc>
          <w:tcPr>
            <w:tcW w:w="516" w:type="dxa"/>
            <w:vAlign w:val="center"/>
            <w:tcMar>
              <w:top w:w="60" w:type="dxa"/>
              <w:left w:w="70" w:type="dxa"/>
              <w:bottom w:w="60" w:type="dxa"/>
              <w:right w:w="70" w:type="dxa"/>
            </w:tcMar>
          </w:tcPr>
          <w:p>
            <w:pPr>
              <w:pStyle w:val="CadEETableStyle"/>
            </w:pPr>
            <w:r>
              <w:t>2</w:t>
            </w:r>
          </w:p>
        </w:tc>
        <w:tc>
          <w:tcPr>
            <w:tcW w:w="4651" w:type="dxa"/>
            <w:vAlign w:val="center"/>
            <w:tcMar>
              <w:top w:w="60" w:type="dxa"/>
              <w:left w:w="70" w:type="dxa"/>
              <w:bottom w:w="60" w:type="dxa"/>
              <w:right w:w="70" w:type="dxa"/>
            </w:tcMar>
          </w:tcPr>
          <w:p>
            <w:pPr>
              <w:pStyle w:val="CadEETableStyle"/>
            </w:pPr>
            <w:r>
              <w:t>Спінений пінополістирол ρ=15 кг/м3</w:t>
            </w:r>
          </w:p>
        </w:tc>
        <w:tc>
          <w:tcPr>
            <w:tcW w:w="1033" w:type="dxa"/>
            <w:vAlign w:val="center"/>
            <w:tcMar>
              <w:top w:w="60" w:type="dxa"/>
              <w:left w:w="70" w:type="dxa"/>
              <w:bottom w:w="60" w:type="dxa"/>
              <w:right w:w="70" w:type="dxa"/>
            </w:tcMar>
          </w:tcPr>
          <w:p>
            <w:pPr>
              <w:pStyle w:val="CadEETableStyle"/>
            </w:pPr>
            <w:r>
              <w:t>0.05</w:t>
            </w:r>
          </w:p>
        </w:tc>
        <w:tc>
          <w:tcPr>
            <w:tcW w:w="1033" w:type="dxa"/>
            <w:vAlign w:val="center"/>
            <w:tcMar>
              <w:top w:w="60" w:type="dxa"/>
              <w:left w:w="70" w:type="dxa"/>
              <w:bottom w:w="60" w:type="dxa"/>
              <w:right w:w="70" w:type="dxa"/>
            </w:tcMar>
          </w:tcPr>
          <w:p>
            <w:pPr>
              <w:pStyle w:val="CadEETableStyle"/>
            </w:pPr>
            <w:r>
              <w:t>15</w:t>
            </w:r>
          </w:p>
        </w:tc>
        <w:tc>
          <w:tcPr>
            <w:tcW w:w="1550" w:type="dxa"/>
            <w:vAlign w:val="center"/>
            <w:tcMar>
              <w:top w:w="60" w:type="dxa"/>
              <w:left w:w="70" w:type="dxa"/>
              <w:bottom w:w="60" w:type="dxa"/>
              <w:right w:w="70" w:type="dxa"/>
            </w:tcMar>
          </w:tcPr>
          <w:p>
            <w:pPr>
              <w:pStyle w:val="CadEETableStyle"/>
            </w:pPr>
            <w:r>
              <w:t>0.045</w:t>
            </w:r>
          </w:p>
        </w:tc>
        <w:tc>
          <w:tcPr>
            <w:tcW w:w="1550" w:type="dxa"/>
            <w:vAlign w:val="center"/>
            <w:tcMar>
              <w:top w:w="60" w:type="dxa"/>
              <w:left w:w="70" w:type="dxa"/>
              <w:bottom w:w="60" w:type="dxa"/>
              <w:right w:w="70" w:type="dxa"/>
            </w:tcMar>
          </w:tcPr>
          <w:p>
            <w:pPr>
              <w:pStyle w:val="CadEETableStyle"/>
            </w:pPr>
            <w:r>
              <w:t>0.28</w:t>
            </w:r>
          </w:p>
        </w:tc>
      </w:tr>
    </w:tbl>
    <w:p>
      <w:pPr>
        <w:spacing w:before="0" w:after="0" w:line="80" w:lineRule="exact"/>
      </w:pPr>
    </w:p>
    <w:p>
      <w:pPr>
        <w:pStyle w:val="CadEENormalText"/>
        <w:numPr>
          <w:ilvl w:val="2"/>
          <w:numId w:val="1"/>
        </w:numPr>
      </w:pPr>
      <w:bookmarkStart w:id="133" w:name="CadEE_Target_133"/>
      <w:r>
        <w:t xml:space="preserve">Визначення теплових характеристик шарів непрозорої огороджувальної конструкції</w:t>
      </w:r>
      <w:bookmarkEnd w:id="133"/>
    </w:p>
    <w:p>
      <w:pPr>
        <w:pStyle w:val="CadEENormalText"/>
      </w:pPr>
      <w:r>
        <w:t xml:space="preserve">Теплові опори теплопередачі шарів непрозорої огороджувальної конструкції розраховуємо з використанням значень λ для умов експлуатації A згідно з формулою (7) ДСТУ-Н Б.2.6-190:2013</w:t>
      </w:r>
    </w:p>
    <w:p>
      <w:pPr>
        <w:pStyle w:val="CadEENormalText"/>
        <w:numPr>
          <w:ilvl w:val="2"/>
          <w:numId w:val="1"/>
        </w:numPr>
      </w:pPr>
      <w:bookmarkStart w:id="134" w:name="CadEE_Target_134"/>
      <w:r>
        <w:t xml:space="preserve">Визначення теплових характеристик шарів непрозорої огороджувальної конструкції</w:t>
      </w:r>
      <w:bookmarkEnd w:id="134"/>
    </w:p>
    <w:p>
      <w:pPr>
        <w:pStyle w:val="CadEENormalText"/>
      </w:pPr>
      <w:r>
        <w:t xml:space="preserve">Теплові опори теплопередачі шарів непрозорої огороджувальної конструкції розраховуємо згідно з формулою (7) ДСТУ-Н Б.2.6-190:2013</w:t>
      </w:r>
    </w:p>
    <w:p>
      <w:pPr>
        <w:pStyle w:val="CadEENormalText"/>
      </w:pPr>
      <w:r>
        <w:t xml:space="preserve">Тепловий опір конструкції, що складається з декількох матеріалів визначаємо згідно з п. 4.11 ДСТУ-Н Б.2.6-190:2013 </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λ</m:t>
                    </m:r>
                  </m:e>
                  <m:sub>
                    <m:r>
                      <m:t>1</m:t>
                    </m:r>
                  </m:sub>
                </m:sSub>
                <m:r>
                  <m:t>=</m:t>
                </m:r>
                <m:f>
                  <m:num>
                    <m:d>
                      <m:dPr>
                        <m:begChr m:val="("/>
                        <m:endChr m:val=")"/>
                      </m:dPr>
                      <m:e>
                        <m:sSub>
                          <m:e>
                            <m:r>
                              <m:t>λ</m:t>
                            </m:r>
                          </m:e>
                          <m:sub>
                            <m:sSub>
                              <m:e>
                                <m:r>
                                  <m:rPr>
                                    <m:sty m:val="i"/>
                                  </m:rPr>
                                  <m:t>I</m:t>
                                </m:r>
                              </m:e>
                              <m:sub>
                                <m:r>
                                  <m:t>1</m:t>
                                </m:r>
                              </m:sub>
                            </m:sSub>
                          </m:sub>
                        </m:sSub>
                        <m:sSub>
                          <m:e>
                            <m:r>
                              <m:rPr>
                                <m:sty m:val="i"/>
                              </m:rPr>
                              <m:t>V</m:t>
                            </m:r>
                          </m:e>
                          <m:sub>
                            <m:sSub>
                              <m:e>
                                <m:r>
                                  <m:rPr>
                                    <m:sty m:val="i"/>
                                  </m:rPr>
                                  <m:t>I</m:t>
                                </m:r>
                              </m:e>
                              <m:sub>
                                <m:r>
                                  <m:t>1</m:t>
                                </m:r>
                              </m:sub>
                            </m:sSub>
                          </m:sub>
                        </m:sSub>
                        <m:r>
                          <m:t>+</m:t>
                        </m:r>
                        <m:sSub>
                          <m:e>
                            <m:r>
                              <m:t>λ</m:t>
                            </m:r>
                          </m:e>
                          <m:sub>
                            <m:sSub>
                              <m:e>
                                <m:r>
                                  <m:rPr>
                                    <m:sty m:val="i"/>
                                  </m:rPr>
                                  <m:t>II</m:t>
                                </m:r>
                              </m:e>
                              <m:sub>
                                <m:r>
                                  <m:t>1</m:t>
                                </m:r>
                              </m:sub>
                            </m:sSub>
                          </m:sub>
                        </m:sSub>
                        <m:sSub>
                          <m:e>
                            <m:r>
                              <m:rPr>
                                <m:sty m:val="i"/>
                              </m:rPr>
                              <m:t>V</m:t>
                            </m:r>
                          </m:e>
                          <m:sub>
                            <m:sSub>
                              <m:e>
                                <m:r>
                                  <m:rPr>
                                    <m:sty m:val="i"/>
                                  </m:rPr>
                                  <m:t>II</m:t>
                                </m:r>
                              </m:e>
                              <m:sub>
                                <m:r>
                                  <m:t>1</m:t>
                                </m:r>
                              </m:sub>
                            </m:sSub>
                          </m:sub>
                        </m:sSub>
                      </m:e>
                    </m:d>
                  </m:num>
                  <m:den>
                    <m:d>
                      <m:dPr>
                        <m:begChr m:val="("/>
                        <m:endChr m:val=")"/>
                      </m:dPr>
                      <m:e>
                        <m:sSub>
                          <m:e>
                            <m:r>
                              <m:rPr>
                                <m:sty m:val="i"/>
                              </m:rPr>
                              <m:t>V</m:t>
                            </m:r>
                          </m:e>
                          <m:sub>
                            <m:sSub>
                              <m:e>
                                <m:r>
                                  <m:rPr>
                                    <m:sty m:val="i"/>
                                  </m:rPr>
                                  <m:t>I</m:t>
                                </m:r>
                              </m:e>
                              <m:sub>
                                <m:r>
                                  <m:t>1</m:t>
                                </m:r>
                              </m:sub>
                            </m:sSub>
                          </m:sub>
                        </m:sSub>
                        <m:r>
                          <m:t>+</m:t>
                        </m:r>
                        <m:sSub>
                          <m:e>
                            <m:r>
                              <m:rPr>
                                <m:sty m:val="i"/>
                              </m:rPr>
                              <m:t>V</m:t>
                            </m:r>
                          </m:e>
                          <m:sub>
                            <m:sSub>
                              <m:e>
                                <m:r>
                                  <m:rPr>
                                    <m:sty m:val="i"/>
                                  </m:rPr>
                                  <m:t>II</m:t>
                                </m:r>
                              </m:e>
                              <m:sub>
                                <m:r>
                                  <m:t>1</m:t>
                                </m:r>
                              </m:sub>
                            </m:sSub>
                          </m:sub>
                        </m:sSub>
                      </m:e>
                    </m:d>
                  </m:den>
                </m:f>
                <m:r>
                  <m:t>=</m:t>
                </m:r>
                <m:f>
                  <m:num>
                    <m:d>
                      <m:dPr>
                        <m:begChr m:val="("/>
                        <m:endChr m:val=")"/>
                      </m:dPr>
                      <m:e>
                        <m:r>
                          <m:t>0.045</m:t>
                        </m:r>
                        <m:r>
                          <m:t>·</m:t>
                        </m:r>
                        <m:r>
                          <m:t>0.06</m:t>
                        </m:r>
                        <m:r>
                          <m:t>+</m:t>
                        </m:r>
                        <m:r>
                          <m:t>0.046</m:t>
                        </m:r>
                        <m:r>
                          <m:t>·</m:t>
                        </m:r>
                        <m:r>
                          <m:t>0.02</m:t>
                        </m:r>
                      </m:e>
                    </m:d>
                  </m:num>
                  <m:den>
                    <m:d>
                      <m:dPr>
                        <m:begChr m:val="("/>
                        <m:endChr m:val=")"/>
                      </m:dPr>
                      <m:e>
                        <m:r>
                          <m:t>0.06</m:t>
                        </m:r>
                        <m:r>
                          <m:t>+</m:t>
                        </m:r>
                        <m:r>
                          <m:t>0.02</m:t>
                        </m:r>
                      </m:e>
                    </m:d>
                  </m:den>
                </m:f>
                <m:r>
                  <m:t>=</m:t>
                </m:r>
                <m:r>
                  <m:t>0.04525</m:t>
                </m:r>
                <m:r>
                  <m:t xml:space="preserve"> </m:t>
                </m:r>
                <m:f>
                  <m:num>
                    <m:r>
                      <m:t>Вт</m:t>
                    </m:r>
                  </m:num>
                  <m:den>
                    <m:r>
                      <m:t>м</m:t>
                    </m:r>
                    <m:r>
                      <m:t>·</m:t>
                    </m:r>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5" w:name="CadEE_Target_135"/>
            <w:r>
              <w:fldChar w:fldCharType="begin"/>
            </w:r>
            <w:r>
              <w:instrText xml:space="preserve"> SEQ CadEE_Formula \* ARABIC </w:instrText>
            </w:r>
            <w:r>
              <w:fldChar w:fldCharType="separate"/>
            </w:r>
            <w:r>
              <w:t xml:space="preserve">46</w:t>
            </w:r>
            <w:r>
              <w:fldChar w:fldCharType="end"/>
            </w:r>
            <w:bookmarkEnd w:id="135"/>
            <w:r>
              <w:t>)</w:t>
            </w:r>
          </w:p>
        </w:tc>
      </w:tr>
    </w:tbl>
    <w:p>
      <w:pPr>
        <w:pStyle w:val="CadEENormalText"/>
      </w:pPr>
      <w:r>
        <w:t xml:space="preserve">де </w:t>
      </w:r>
      <w:r>
        <w:rPr>
          <w:rFonts w:ascii="Cambria Math" w:hAnsi="Cambria Math" w:eastAsia="Cambria Math" w:cs="Cambria Math"/>
        </w:rPr>
        <w:t xml:space="preserve">λ</w:t>
      </w:r>
      <w:r>
        <w:rPr>
          <w:rFonts w:ascii="Cambria Math" w:hAnsi="Cambria Math" w:eastAsia="Cambria Math" w:cs="Cambria Math"/>
          <w:vertAlign w:val="subscript"/>
        </w:rPr>
        <w:t xml:space="preserve">I1</w:t>
      </w:r>
      <w:r>
        <w:t xml:space="preserve"> - теплопровідність основного матеріалу шару,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V</w:t>
      </w:r>
      <w:r>
        <w:rPr>
          <w:rFonts w:ascii="Cambria Math" w:hAnsi="Cambria Math" w:eastAsia="Cambria Math" w:cs="Cambria Math"/>
          <w:vertAlign w:val="subscript"/>
        </w:rPr>
        <w:t xml:space="preserve">I1</w:t>
      </w:r>
      <w:r>
        <w:t xml:space="preserve"> - об'єм основного матеріалу шару,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λ</w:t>
      </w:r>
      <w:r>
        <w:rPr>
          <w:rFonts w:ascii="Cambria Math" w:hAnsi="Cambria Math" w:eastAsia="Cambria Math" w:cs="Cambria Math"/>
          <w:vertAlign w:val="subscript"/>
        </w:rPr>
        <w:t xml:space="preserve">II1</w:t>
      </w:r>
      <w:r>
        <w:t xml:space="preserve"> - теплопровідність додаткового матеріалу шару,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V</w:t>
      </w:r>
      <w:r>
        <w:rPr>
          <w:rFonts w:ascii="Cambria Math" w:hAnsi="Cambria Math" w:eastAsia="Cambria Math" w:cs="Cambria Math"/>
          <w:vertAlign w:val="subscript"/>
        </w:rPr>
        <w:t xml:space="preserve">II1</w:t>
      </w:r>
      <w:r>
        <w:t xml:space="preserve"> - об'єм додаткового матеріалу шару,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s</m:t>
                    </m:r>
                  </m:e>
                  <m:sub>
                    <m:r>
                      <m:t>1</m:t>
                    </m:r>
                  </m:sub>
                </m:sSub>
                <m:r>
                  <m:t>=</m:t>
                </m:r>
                <m:f>
                  <m:num>
                    <m:d>
                      <m:dPr>
                        <m:begChr m:val="("/>
                        <m:endChr m:val=")"/>
                      </m:dPr>
                      <m:e>
                        <m:sSub>
                          <m:e>
                            <m:r>
                              <m:rPr>
                                <m:sty m:val="i"/>
                              </m:rPr>
                              <m:t>s</m:t>
                            </m:r>
                          </m:e>
                          <m:sub>
                            <m:sSub>
                              <m:e>
                                <m:r>
                                  <m:rPr>
                                    <m:sty m:val="i"/>
                                  </m:rPr>
                                  <m:t>I</m:t>
                                </m:r>
                              </m:e>
                              <m:sub>
                                <m:r>
                                  <m:t>1</m:t>
                                </m:r>
                              </m:sub>
                            </m:sSub>
                          </m:sub>
                        </m:sSub>
                        <m:sSub>
                          <m:e>
                            <m:r>
                              <m:rPr>
                                <m:sty m:val="i"/>
                              </m:rPr>
                              <m:t>V</m:t>
                            </m:r>
                          </m:e>
                          <m:sub>
                            <m:sSub>
                              <m:e>
                                <m:r>
                                  <m:rPr>
                                    <m:sty m:val="i"/>
                                  </m:rPr>
                                  <m:t>I</m:t>
                                </m:r>
                              </m:e>
                              <m:sub>
                                <m:r>
                                  <m:t>1</m:t>
                                </m:r>
                              </m:sub>
                            </m:sSub>
                          </m:sub>
                        </m:sSub>
                        <m:r>
                          <m:t>+</m:t>
                        </m:r>
                        <m:sSub>
                          <m:e>
                            <m:r>
                              <m:rPr>
                                <m:sty m:val="i"/>
                              </m:rPr>
                              <m:t>s</m:t>
                            </m:r>
                          </m:e>
                          <m:sub>
                            <m:sSub>
                              <m:e>
                                <m:r>
                                  <m:rPr>
                                    <m:sty m:val="i"/>
                                  </m:rPr>
                                  <m:t>II</m:t>
                                </m:r>
                              </m:e>
                              <m:sub>
                                <m:r>
                                  <m:t>1</m:t>
                                </m:r>
                              </m:sub>
                            </m:sSub>
                          </m:sub>
                        </m:sSub>
                        <m:sSub>
                          <m:e>
                            <m:r>
                              <m:rPr>
                                <m:sty m:val="i"/>
                              </m:rPr>
                              <m:t>V</m:t>
                            </m:r>
                          </m:e>
                          <m:sub>
                            <m:sSub>
                              <m:e>
                                <m:r>
                                  <m:rPr>
                                    <m:sty m:val="i"/>
                                  </m:rPr>
                                  <m:t>II</m:t>
                                </m:r>
                              </m:e>
                              <m:sub>
                                <m:r>
                                  <m:t>1</m:t>
                                </m:r>
                              </m:sub>
                            </m:sSub>
                          </m:sub>
                        </m:sSub>
                      </m:e>
                    </m:d>
                  </m:num>
                  <m:den>
                    <m:d>
                      <m:dPr>
                        <m:begChr m:val="("/>
                        <m:endChr m:val=")"/>
                      </m:dPr>
                      <m:e>
                        <m:sSub>
                          <m:e>
                            <m:r>
                              <m:rPr>
                                <m:sty m:val="i"/>
                              </m:rPr>
                              <m:t>V</m:t>
                            </m:r>
                          </m:e>
                          <m:sub>
                            <m:sSub>
                              <m:e>
                                <m:r>
                                  <m:rPr>
                                    <m:sty m:val="i"/>
                                  </m:rPr>
                                  <m:t>I</m:t>
                                </m:r>
                              </m:e>
                              <m:sub>
                                <m:r>
                                  <m:t>1</m:t>
                                </m:r>
                              </m:sub>
                            </m:sSub>
                          </m:sub>
                        </m:sSub>
                        <m:r>
                          <m:t>+</m:t>
                        </m:r>
                        <m:sSub>
                          <m:e>
                            <m:r>
                              <m:rPr>
                                <m:sty m:val="i"/>
                              </m:rPr>
                              <m:t>V</m:t>
                            </m:r>
                          </m:e>
                          <m:sub>
                            <m:sSub>
                              <m:e>
                                <m:r>
                                  <m:rPr>
                                    <m:sty m:val="i"/>
                                  </m:rPr>
                                  <m:t>II</m:t>
                                </m:r>
                              </m:e>
                              <m:sub>
                                <m:r>
                                  <m:t>1</m:t>
                                </m:r>
                              </m:sub>
                            </m:sSub>
                          </m:sub>
                        </m:sSub>
                      </m:e>
                    </m:d>
                  </m:den>
                </m:f>
                <m:r>
                  <m:t>=</m:t>
                </m:r>
                <m:f>
                  <m:num>
                    <m:d>
                      <m:dPr>
                        <m:begChr m:val="("/>
                        <m:endChr m:val=")"/>
                      </m:dPr>
                      <m:e>
                        <m:r>
                          <m:t>0.28</m:t>
                        </m:r>
                        <m:r>
                          <m:t>·</m:t>
                        </m:r>
                        <m:r>
                          <m:t>0.06</m:t>
                        </m:r>
                        <m:r>
                          <m:t>+</m:t>
                        </m:r>
                        <m:r>
                          <m:t>0.29</m:t>
                        </m:r>
                        <m:r>
                          <m:t>·</m:t>
                        </m:r>
                        <m:r>
                          <m:t>0.02</m:t>
                        </m:r>
                      </m:e>
                    </m:d>
                  </m:num>
                  <m:den>
                    <m:d>
                      <m:dPr>
                        <m:begChr m:val="("/>
                        <m:endChr m:val=")"/>
                      </m:dPr>
                      <m:e>
                        <m:r>
                          <m:t>0.06</m:t>
                        </m:r>
                        <m:r>
                          <m:t>+</m:t>
                        </m:r>
                        <m:r>
                          <m:t>0.02</m:t>
                        </m:r>
                      </m:e>
                    </m:d>
                  </m:den>
                </m:f>
                <m:r>
                  <m:t>=</m:t>
                </m:r>
                <m:r>
                  <m:t>0.2825</m:t>
                </m:r>
                <m:r>
                  <m:t xml:space="preserve"> </m:t>
                </m:r>
                <m:f>
                  <m:num>
                    <m:r>
                      <m:t>Вт</m:t>
                    </m:r>
                  </m:num>
                  <m:den>
                    <m:r>
                      <m:t>м</m:t>
                    </m:r>
                    <m:r>
                      <m:t>·</m:t>
                    </m:r>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6" w:name="CadEE_Target_136"/>
            <w:r>
              <w:fldChar w:fldCharType="begin"/>
            </w:r>
            <w:r>
              <w:instrText xml:space="preserve"> SEQ CadEE_Formula \* ARABIC </w:instrText>
            </w:r>
            <w:r>
              <w:fldChar w:fldCharType="separate"/>
            </w:r>
            <w:r>
              <w:t xml:space="preserve">47</w:t>
            </w:r>
            <w:r>
              <w:fldChar w:fldCharType="end"/>
            </w:r>
            <w:bookmarkEnd w:id="136"/>
            <w:r>
              <w:t>)</w:t>
            </w:r>
          </w:p>
        </w:tc>
      </w:tr>
    </w:tbl>
    <w:p>
      <w:pPr>
        <w:pStyle w:val="CadEENormalText"/>
      </w:pPr>
      <w:r>
        <w:t xml:space="preserve">де </w:t>
      </w:r>
      <w:r>
        <w:rPr>
          <w:rFonts w:ascii="Cambria Math" w:hAnsi="Cambria Math" w:eastAsia="Cambria Math" w:cs="Cambria Math"/>
        </w:rPr>
        <w:t xml:space="preserve">s</w:t>
      </w:r>
      <w:r>
        <w:rPr>
          <w:rFonts w:ascii="Cambria Math" w:hAnsi="Cambria Math" w:eastAsia="Cambria Math" w:cs="Cambria Math"/>
          <w:vertAlign w:val="subscript"/>
        </w:rPr>
        <w:t xml:space="preserve">I1</w:t>
      </w:r>
      <w:r>
        <w:t xml:space="preserve"> - коефіцієнт теплозасвоєння основного матеріалу шару,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V</w:t>
      </w:r>
      <w:r>
        <w:rPr>
          <w:rFonts w:ascii="Cambria Math" w:hAnsi="Cambria Math" w:eastAsia="Cambria Math" w:cs="Cambria Math"/>
          <w:vertAlign w:val="subscript"/>
        </w:rPr>
        <w:t xml:space="preserve">I1</w:t>
      </w:r>
      <w:r>
        <w:t xml:space="preserve">, </w:t>
      </w:r>
      <w:r>
        <w:rPr>
          <w:rFonts w:ascii="Cambria Math" w:hAnsi="Cambria Math" w:eastAsia="Cambria Math" w:cs="Cambria Math"/>
        </w:rPr>
        <w:t xml:space="preserve">V</w:t>
      </w:r>
      <w:r>
        <w:rPr>
          <w:rFonts w:ascii="Cambria Math" w:hAnsi="Cambria Math" w:eastAsia="Cambria Math" w:cs="Cambria Math"/>
          <w:vertAlign w:val="subscript"/>
        </w:rPr>
        <w:t xml:space="preserve">II1</w:t>
      </w:r>
      <w:r>
        <w:t xml:space="preserve"> - те саме, що у формулі (</w:t>
      </w:r>
      <w:r>
        <w:fldChar w:fldCharType="begin"/>
      </w:r>
      <w:r>
        <w:instrText xml:space="preserve"> REF CadEE_Target_135 \h </w:instrText>
      </w:r>
      <w:r>
        <w:fldChar w:fldCharType="separate"/>
      </w:r>
      <w:r>
        <w:t xml:space="preserve">46</w:t>
      </w:r>
      <w:r>
        <w:fldChar w:fldCharType="end"/>
      </w:r>
      <w:r>
        <w:t xml:space="preserve">); </w:t>
      </w:r>
      <w:r>
        <w:rPr>
          <w:rFonts w:ascii="Cambria Math" w:hAnsi="Cambria Math" w:eastAsia="Cambria Math" w:cs="Cambria Math"/>
        </w:rPr>
        <w:t xml:space="preserve">s</w:t>
      </w:r>
      <w:r>
        <w:rPr>
          <w:rFonts w:ascii="Cambria Math" w:hAnsi="Cambria Math" w:eastAsia="Cambria Math" w:cs="Cambria Math"/>
          <w:vertAlign w:val="subscript"/>
        </w:rPr>
        <w:t xml:space="preserve">II1</w:t>
      </w:r>
      <w:r>
        <w:t xml:space="preserve"> - коефіцієнт теплозасвоєння додаткового матеріалу шару,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r>
                      <m:t>1</m:t>
                    </m:r>
                  </m:sub>
                </m:sSub>
                <m:r>
                  <m:t>=</m:t>
                </m:r>
                <m:f>
                  <m:num>
                    <m:sSub>
                      <m:e>
                        <m:r>
                          <m:rPr>
                            <m:sty m:val="i"/>
                          </m:rPr>
                          <m:t>d</m:t>
                        </m:r>
                      </m:e>
                      <m:sub>
                        <m:r>
                          <m:t>1</m:t>
                        </m:r>
                      </m:sub>
                    </m:sSub>
                  </m:num>
                  <m:den>
                    <m:sSub>
                      <m:e>
                        <m:r>
                          <m:t>λ</m:t>
                        </m:r>
                      </m:e>
                      <m:sub>
                        <m:r>
                          <m:t>1</m:t>
                        </m:r>
                      </m:sub>
                    </m:sSub>
                  </m:den>
                </m:f>
                <m:r>
                  <m:t>=</m:t>
                </m:r>
                <m:f>
                  <m:num>
                    <m:r>
                      <m:t>0.05</m:t>
                    </m:r>
                  </m:num>
                  <m:den>
                    <m:r>
                      <m:t>0.04525</m:t>
                    </m:r>
                  </m:den>
                </m:f>
                <m:r>
                  <m:t>=</m:t>
                </m:r>
                <m:r>
                  <m:t>1.105</m:t>
                </m:r>
                <m:r>
                  <m:t xml:space="preserve"> </m:t>
                </m:r>
                <m:f>
                  <m:num>
                    <m:sSup>
                      <m:e>
                        <m:r>
                          <m:t>м</m:t>
                        </m:r>
                      </m:e>
                      <m:sup>
                        <m:r>
                          <m:t>2</m:t>
                        </m:r>
                      </m:sup>
                    </m:sSup>
                    <m:r>
                      <m:t>·</m:t>
                    </m:r>
                    <m:r>
                      <m:rPr>
                        <m:sty m:val="i"/>
                      </m:rPr>
                      <m:t>K</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7" w:name="CadEE_Target_137"/>
            <w:r>
              <w:fldChar w:fldCharType="begin"/>
            </w:r>
            <w:r>
              <w:instrText xml:space="preserve"> SEQ CadEE_Formula \* ARABIC </w:instrText>
            </w:r>
            <w:r>
              <w:fldChar w:fldCharType="separate"/>
            </w:r>
            <w:r>
              <w:t xml:space="preserve">48</w:t>
            </w:r>
            <w:r>
              <w:fldChar w:fldCharType="end"/>
            </w:r>
            <w:bookmarkEnd w:id="137"/>
            <w:r>
              <w:t>)</w:t>
            </w:r>
          </w:p>
        </w:tc>
      </w:tr>
    </w:tbl>
    <w:p>
      <w:pPr>
        <w:pStyle w:val="CadEENormalText"/>
      </w:pPr>
      <w:r>
        <w:t xml:space="preserve">де </w:t>
      </w:r>
      <w:r>
        <w:rPr>
          <w:rFonts w:ascii="Cambria Math" w:hAnsi="Cambria Math" w:eastAsia="Cambria Math" w:cs="Cambria Math"/>
        </w:rPr>
        <w:t xml:space="preserve">d</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CadEE_Target_11 \h </w:instrText>
      </w:r>
      <w:r>
        <w:fldChar w:fldCharType="separate"/>
      </w:r>
      <w:r>
        <w:t xml:space="preserve">2</w:t>
      </w:r>
      <w:r>
        <w:fldChar w:fldCharType="end"/>
      </w:r>
      <w:r>
        <w:t xml:space="preserve">); </w:t>
      </w:r>
      <w:r>
        <w:rPr>
          <w:rFonts w:ascii="Cambria Math" w:hAnsi="Cambria Math" w:eastAsia="Cambria Math" w:cs="Cambria Math"/>
        </w:rPr>
        <w:t xml:space="preserve">λ</w:t>
      </w:r>
      <w:r>
        <w:rPr>
          <w:rFonts w:ascii="Cambria Math" w:hAnsi="Cambria Math" w:eastAsia="Cambria Math" w:cs="Cambria Math"/>
          <w:vertAlign w:val="subscript"/>
        </w:rPr>
        <w:t xml:space="preserve">1</w:t>
      </w:r>
      <w:r>
        <w:t xml:space="preserve">, див. п. </w:t>
      </w:r>
      <w:r>
        <w:fldChar w:fldCharType="begin"/>
      </w:r>
      <w:r>
        <w:instrText xml:space="preserve"> REF CadEE_Target_134 \n \h </w:instrText>
      </w:r>
      <w:r>
        <w:fldChar w:fldCharType="separate"/>
      </w:r>
      <w:r>
        <w:t xml:space="preserve">1.4.3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r>
                      <m:t>2</m:t>
                    </m:r>
                  </m:sub>
                </m:sSub>
                <m:r>
                  <m:t>=</m:t>
                </m:r>
                <m:f>
                  <m:num>
                    <m:sSub>
                      <m:e>
                        <m:r>
                          <m:rPr>
                            <m:sty m:val="i"/>
                          </m:rPr>
                          <m:t>d</m:t>
                        </m:r>
                      </m:e>
                      <m:sub>
                        <m:r>
                          <m:t>2</m:t>
                        </m:r>
                      </m:sub>
                    </m:sSub>
                  </m:num>
                  <m:den>
                    <m:sSub>
                      <m:e>
                        <m:r>
                          <m:t>λ</m:t>
                        </m:r>
                      </m:e>
                      <m:sub>
                        <m:r>
                          <m:t>2</m:t>
                        </m:r>
                      </m:sub>
                    </m:sSub>
                  </m:den>
                </m:f>
                <m:r>
                  <m:t>=</m:t>
                </m:r>
                <m:f>
                  <m:num>
                    <m:r>
                      <m:t>0.05</m:t>
                    </m:r>
                  </m:num>
                  <m:den>
                    <m:r>
                      <m:t>0.045</m:t>
                    </m:r>
                  </m:den>
                </m:f>
                <m:r>
                  <m:t>=</m:t>
                </m:r>
                <m:r>
                  <m:t>1.111</m:t>
                </m:r>
                <m:r>
                  <m:t xml:space="preserve"> </m:t>
                </m:r>
                <m:f>
                  <m:num>
                    <m:sSup>
                      <m:e>
                        <m:r>
                          <m:t>м</m:t>
                        </m:r>
                      </m:e>
                      <m:sup>
                        <m:r>
                          <m:t>2</m:t>
                        </m:r>
                      </m:sup>
                    </m:sSup>
                    <m:r>
                      <m:t>·</m:t>
                    </m:r>
                    <m:r>
                      <m:rPr>
                        <m:sty m:val="i"/>
                      </m:rPr>
                      <m:t>K</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8" w:name="CadEE_Target_138"/>
            <w:r>
              <w:fldChar w:fldCharType="begin"/>
            </w:r>
            <w:r>
              <w:instrText xml:space="preserve"> SEQ CadEE_Formula \* ARABIC </w:instrText>
            </w:r>
            <w:r>
              <w:fldChar w:fldCharType="separate"/>
            </w:r>
            <w:r>
              <w:t xml:space="preserve">49</w:t>
            </w:r>
            <w:r>
              <w:fldChar w:fldCharType="end"/>
            </w:r>
            <w:bookmarkEnd w:id="138"/>
            <w:r>
              <w:t>)</w:t>
            </w:r>
          </w:p>
        </w:tc>
      </w:tr>
    </w:tbl>
    <w:p>
      <w:pPr>
        <w:pStyle w:val="CadEENormalText"/>
      </w:pPr>
      <w:r>
        <w:t xml:space="preserve">де </w:t>
      </w:r>
      <w:r>
        <w:rPr>
          <w:rFonts w:ascii="Cambria Math" w:hAnsi="Cambria Math" w:eastAsia="Cambria Math" w:cs="Cambria Math"/>
        </w:rPr>
        <w:t xml:space="preserve">d</w:t>
      </w:r>
      <w:r>
        <w:rPr>
          <w:rFonts w:ascii="Cambria Math" w:hAnsi="Cambria Math" w:eastAsia="Cambria Math" w:cs="Cambria Math"/>
          <w:vertAlign w:val="subscript"/>
        </w:rPr>
        <w:t xml:space="preserve">2</w:t>
      </w:r>
      <w:r>
        <w:t xml:space="preserve"> - те саме, що у формулі (</w:t>
      </w:r>
      <w:r>
        <w:fldChar w:fldCharType="begin"/>
      </w:r>
      <w:r>
        <w:instrText xml:space="preserve"> REF CadEE_Target_11 \h </w:instrText>
      </w:r>
      <w:r>
        <w:fldChar w:fldCharType="separate"/>
      </w:r>
      <w:r>
        <w:t xml:space="preserve">2</w:t>
      </w:r>
      <w:r>
        <w:fldChar w:fldCharType="end"/>
      </w:r>
      <w:r>
        <w:t xml:space="preserve">); </w:t>
      </w:r>
      <w:r>
        <w:rPr>
          <w:rFonts w:ascii="Cambria Math" w:hAnsi="Cambria Math" w:eastAsia="Cambria Math" w:cs="Cambria Math"/>
        </w:rPr>
        <w:t xml:space="preserve">λ</w:t>
      </w:r>
      <w:r>
        <w:rPr>
          <w:rFonts w:ascii="Cambria Math" w:hAnsi="Cambria Math" w:eastAsia="Cambria Math" w:cs="Cambria Math"/>
          <w:vertAlign w:val="subscript"/>
        </w:rPr>
        <w:t xml:space="preserve">2</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139" w:name="CadEE_Target_139"/>
      <w:r>
        <w:t xml:space="preserve">Визначення теплових інерцій кожного шару непрозорої огороджувальної конструкції </w:t>
      </w:r>
      <w:bookmarkEnd w:id="139"/>
    </w:p>
    <w:p>
      <w:pPr>
        <w:pStyle w:val="CadEENormalText"/>
      </w:pPr>
      <w:r>
        <w:t xml:space="preserve">Теплові інерції шарів непрозорої огороджувальної конструкції розраховуємо згідно з формулами (5) та (6) ДСТУ-Н Б.2.6-190:2013:</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D</m:t>
                    </m:r>
                  </m:e>
                  <m:sub>
                    <m:r>
                      <m:t>1</m:t>
                    </m:r>
                  </m:sub>
                </m:sSub>
                <m:r>
                  <m:t>=</m:t>
                </m:r>
                <m:sSub>
                  <m:e>
                    <m:r>
                      <m:rPr>
                        <m:sty m:val="i"/>
                      </m:rPr>
                      <m:t>R</m:t>
                    </m:r>
                  </m:e>
                  <m:sub>
                    <m:r>
                      <m:t>1</m:t>
                    </m:r>
                  </m:sub>
                </m:sSub>
                <m:sSub>
                  <m:e>
                    <m:r>
                      <m:rPr>
                        <m:sty m:val="i"/>
                      </m:rPr>
                      <m:t>s</m:t>
                    </m:r>
                  </m:e>
                  <m:sub>
                    <m:r>
                      <m:t>1</m:t>
                    </m:r>
                  </m:sub>
                </m:sSub>
                <m:r>
                  <m:t>=</m:t>
                </m:r>
                <m:r>
                  <m:t>1.105</m:t>
                </m:r>
                <m:r>
                  <m:t>·</m:t>
                </m:r>
                <m:r>
                  <m:t>0.2825</m:t>
                </m:r>
                <m:r>
                  <m:t>=</m:t>
                </m:r>
                <m:r>
                  <m:t>0.3122</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0" w:name="CadEE_Target_140"/>
            <w:r>
              <w:fldChar w:fldCharType="begin"/>
            </w:r>
            <w:r>
              <w:instrText xml:space="preserve"> SEQ CadEE_Formula \* ARABIC </w:instrText>
            </w:r>
            <w:r>
              <w:fldChar w:fldCharType="separate"/>
            </w:r>
            <w:r>
              <w:t xml:space="preserve">50</w:t>
            </w:r>
            <w:r>
              <w:fldChar w:fldCharType="end"/>
            </w:r>
            <w:bookmarkEnd w:id="140"/>
            <w:r>
              <w:t>)</w:t>
            </w:r>
          </w:p>
        </w:tc>
      </w:tr>
    </w:tbl>
    <w:p>
      <w:pPr>
        <w:pStyle w:val="CadEENormalText"/>
      </w:pPr>
      <w:r>
        <w:t xml:space="preserve">де </w:t>
      </w:r>
      <w:r>
        <w:rPr>
          <w:rFonts w:ascii="Cambria Math" w:hAnsi="Cambria Math" w:eastAsia="Cambria Math" w:cs="Cambria Math"/>
        </w:rPr>
        <w:t xml:space="preserve">R</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CadEE_Target_31 \h </w:instrText>
      </w:r>
      <w:r>
        <w:fldChar w:fldCharType="separate"/>
      </w:r>
      <w:r>
        <w:t xml:space="preserve">10</w:t>
      </w:r>
      <w:r>
        <w:fldChar w:fldCharType="end"/>
      </w:r>
      <w:r>
        <w:t xml:space="preserve">); </w:t>
      </w:r>
      <w:r>
        <w:rPr>
          <w:rFonts w:ascii="Cambria Math" w:hAnsi="Cambria Math" w:eastAsia="Cambria Math" w:cs="Cambria Math"/>
        </w:rPr>
        <w:t xml:space="preserve">s</w:t>
      </w:r>
      <w:r>
        <w:rPr>
          <w:rFonts w:ascii="Cambria Math" w:hAnsi="Cambria Math" w:eastAsia="Cambria Math" w:cs="Cambria Math"/>
          <w:vertAlign w:val="subscript"/>
        </w:rPr>
        <w:t xml:space="preserve">1</w:t>
      </w:r>
      <w:r>
        <w:t xml:space="preserve">, див. п. </w:t>
      </w:r>
      <w:r>
        <w:fldChar w:fldCharType="begin"/>
      </w:r>
      <w:r>
        <w:instrText xml:space="preserve"> REF CadEE_Target_134 \n \h </w:instrText>
      </w:r>
      <w:r>
        <w:fldChar w:fldCharType="separate"/>
      </w:r>
      <w:r>
        <w:t xml:space="preserve">1.4.3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D</m:t>
                    </m:r>
                  </m:e>
                  <m:sub>
                    <m:r>
                      <m:t>2</m:t>
                    </m:r>
                  </m:sub>
                </m:sSub>
                <m:r>
                  <m:t>=</m:t>
                </m:r>
                <m:sSub>
                  <m:e>
                    <m:r>
                      <m:rPr>
                        <m:sty m:val="i"/>
                      </m:rPr>
                      <m:t>R</m:t>
                    </m:r>
                  </m:e>
                  <m:sub>
                    <m:r>
                      <m:t>2</m:t>
                    </m:r>
                  </m:sub>
                </m:sSub>
                <m:sSub>
                  <m:e>
                    <m:r>
                      <m:rPr>
                        <m:sty m:val="i"/>
                      </m:rPr>
                      <m:t>s</m:t>
                    </m:r>
                  </m:e>
                  <m:sub>
                    <m:r>
                      <m:t>2</m:t>
                    </m:r>
                  </m:sub>
                </m:sSub>
                <m:r>
                  <m:t>=</m:t>
                </m:r>
                <m:r>
                  <m:t>1.111</m:t>
                </m:r>
                <m:r>
                  <m:t>·</m:t>
                </m:r>
                <m:r>
                  <m:t>0.28</m:t>
                </m:r>
                <m:r>
                  <m:t>=</m:t>
                </m:r>
                <m:r>
                  <m:t>0.3111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1" w:name="CadEE_Target_141"/>
            <w:r>
              <w:fldChar w:fldCharType="begin"/>
            </w:r>
            <w:r>
              <w:instrText xml:space="preserve"> SEQ CadEE_Formula \* ARABIC </w:instrText>
            </w:r>
            <w:r>
              <w:fldChar w:fldCharType="separate"/>
            </w:r>
            <w:r>
              <w:t xml:space="preserve">51</w:t>
            </w:r>
            <w:r>
              <w:fldChar w:fldCharType="end"/>
            </w:r>
            <w:bookmarkEnd w:id="141"/>
            <w:r>
              <w:t>)</w:t>
            </w:r>
          </w:p>
        </w:tc>
      </w:tr>
    </w:tbl>
    <w:p>
      <w:pPr>
        <w:pStyle w:val="CadEENormalText"/>
      </w:pPr>
      <w:r>
        <w:t xml:space="preserve">де </w:t>
      </w:r>
      <w:r>
        <w:rPr>
          <w:rFonts w:ascii="Cambria Math" w:hAnsi="Cambria Math" w:eastAsia="Cambria Math" w:cs="Cambria Math"/>
        </w:rPr>
        <w:t xml:space="preserve">R</w:t>
      </w:r>
      <w:r>
        <w:rPr>
          <w:rFonts w:ascii="Cambria Math" w:hAnsi="Cambria Math" w:eastAsia="Cambria Math" w:cs="Cambria Math"/>
          <w:vertAlign w:val="subscript"/>
        </w:rPr>
        <w:t xml:space="preserve">2</w:t>
      </w:r>
      <w:r>
        <w:t xml:space="preserve"> - те саме, що у формулі (</w:t>
      </w:r>
      <w:r>
        <w:fldChar w:fldCharType="begin"/>
      </w:r>
      <w:r>
        <w:instrText xml:space="preserve"> REF CadEE_Target_32 \h </w:instrText>
      </w:r>
      <w:r>
        <w:fldChar w:fldCharType="separate"/>
      </w:r>
      <w:r>
        <w:t xml:space="preserve">11</w:t>
      </w:r>
      <w:r>
        <w:fldChar w:fldCharType="end"/>
      </w:r>
      <w:r>
        <w:t xml:space="preserve">); </w:t>
      </w:r>
      <w:r>
        <w:rPr>
          <w:rFonts w:ascii="Cambria Math" w:hAnsi="Cambria Math" w:eastAsia="Cambria Math" w:cs="Cambria Math"/>
        </w:rPr>
        <w:t xml:space="preserve">s</w:t>
      </w:r>
      <w:r>
        <w:rPr>
          <w:rFonts w:ascii="Cambria Math" w:hAnsi="Cambria Math" w:eastAsia="Cambria Math" w:cs="Cambria Math"/>
          <w:vertAlign w:val="subscript"/>
        </w:rPr>
        <w:t xml:space="preserve">2</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r>
                  <m:rPr>
                    <m:sty m:val="i"/>
                  </m:rPr>
                  <m:t>D</m:t>
                </m:r>
                <m:r>
                  <m:t>=</m:t>
                </m:r>
                <m:sSub>
                  <m:e>
                    <m:r>
                      <m:rPr>
                        <m:sty m:val="i"/>
                      </m:rPr>
                      <m:t>D</m:t>
                    </m:r>
                  </m:e>
                  <m:sub>
                    <m:r>
                      <m:t>1</m:t>
                    </m:r>
                  </m:sub>
                </m:sSub>
                <m:r>
                  <m:t>+</m:t>
                </m:r>
                <m:sSub>
                  <m:e>
                    <m:r>
                      <m:rPr>
                        <m:sty m:val="i"/>
                      </m:rPr>
                      <m:t>D</m:t>
                    </m:r>
                  </m:e>
                  <m:sub>
                    <m:r>
                      <m:t>2</m:t>
                    </m:r>
                  </m:sub>
                </m:sSub>
                <m:r>
                  <m:t>=</m:t>
                </m:r>
                <m:r>
                  <m:t>0.3122</m:t>
                </m:r>
                <m:r>
                  <m:t>+</m:t>
                </m:r>
                <m:r>
                  <m:t>0.3111</m:t>
                </m:r>
                <m:r>
                  <m:t>=</m:t>
                </m:r>
                <m:r>
                  <m:t>0.623</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2" w:name="CadEE_Target_142"/>
            <w:r>
              <w:fldChar w:fldCharType="begin"/>
            </w:r>
            <w:r>
              <w:instrText xml:space="preserve"> SEQ CadEE_Formula \* ARABIC </w:instrText>
            </w:r>
            <w:r>
              <w:fldChar w:fldCharType="separate"/>
            </w:r>
            <w:r>
              <w:t xml:space="preserve">52</w:t>
            </w:r>
            <w:r>
              <w:fldChar w:fldCharType="end"/>
            </w:r>
            <w:bookmarkEnd w:id="142"/>
            <w:r>
              <w:t>)</w:t>
            </w:r>
          </w:p>
        </w:tc>
      </w:tr>
    </w:tbl>
    <w:p>
      <w:pPr>
        <w:pStyle w:val="CadEENormalText"/>
      </w:pPr>
      <w:r>
        <w:t xml:space="preserve">де </w:t>
      </w:r>
      <w:r>
        <w:rPr>
          <w:rFonts w:ascii="Cambria Math" w:hAnsi="Cambria Math" w:eastAsia="Cambria Math" w:cs="Cambria Math"/>
        </w:rPr>
        <w:t xml:space="preserve">D</w:t>
      </w:r>
      <w:r>
        <w:rPr>
          <w:rFonts w:ascii="Cambria Math" w:hAnsi="Cambria Math" w:eastAsia="Cambria Math" w:cs="Cambria Math"/>
          <w:vertAlign w:val="subscript"/>
        </w:rPr>
        <w:t xml:space="preserve">1</w:t>
      </w:r>
      <w:r>
        <w:t xml:space="preserve">, </w:t>
      </w:r>
      <w:r>
        <w:rPr>
          <w:rFonts w:ascii="Cambria Math" w:hAnsi="Cambria Math" w:eastAsia="Cambria Math" w:cs="Cambria Math"/>
        </w:rPr>
        <w:t xml:space="preserve">D</w:t>
      </w:r>
      <w:r>
        <w:rPr>
          <w:rFonts w:ascii="Cambria Math" w:hAnsi="Cambria Math" w:eastAsia="Cambria Math" w:cs="Cambria Math"/>
          <w:vertAlign w:val="subscript"/>
        </w:rPr>
        <w:t xml:space="preserve">2</w:t>
      </w:r>
      <w:r>
        <w:t xml:space="preserve"> - теплова інерція шару конструкції, див. п. </w:t>
      </w:r>
      <w:r>
        <w:fldChar w:fldCharType="begin"/>
      </w:r>
      <w:r>
        <w:instrText xml:space="preserve"> REF CadEE_Target_139 \n \h </w:instrText>
      </w:r>
      <w:r>
        <w:fldChar w:fldCharType="separate"/>
      </w:r>
      <w:r>
        <w:t xml:space="preserve">1.4.4</w:t>
      </w:r>
      <w:r>
        <w:fldChar w:fldCharType="end"/>
      </w:r>
      <w:r>
        <w:t xml:space="preserve">, </w:t>
      </w:r>
      <w:r>
        <w:fldChar w:fldCharType="begin"/>
      </w:r>
      <w:r>
        <w:instrText xml:space="preserve"> REF CadEE_Target_139 \n \h </w:instrText>
      </w:r>
      <w:r>
        <w:fldChar w:fldCharType="separate"/>
      </w:r>
      <w:r>
        <w:t xml:space="preserve">1.4.4</w:t>
      </w:r>
      <w:r>
        <w:fldChar w:fldCharType="end"/>
      </w:r>
      <w:r>
        <w:t xml:space="preserve">.</w:t>
      </w:r>
    </w:p>
    <w:p>
      <w:pPr>
        <w:pStyle w:val="CadEENormalText"/>
        <w:numPr>
          <w:ilvl w:val="2"/>
          <w:numId w:val="1"/>
        </w:numPr>
      </w:pPr>
      <w:bookmarkStart w:id="143" w:name="CadEE_Target_143"/>
      <w:r>
        <w:t xml:space="preserve">Визначення розрахункової амплітуди коливань зовнішнього повітря згідно з п. 4.3 ДСТУ-Н Б.2.6-190:2013</w:t>
      </w:r>
      <w:bookmarkEnd w:id="143"/>
    </w:p>
    <w:p>
      <w:pPr>
        <w:pStyle w:val="CadEENormalText"/>
      </w:pPr>
      <w:r>
        <w:t xml:space="preserve">Коефіцієнт тепловіддачі зовнішньої поверхні огороджувальної конструкції в літній період  визначаємо згідно з п. 4.4 ДСТУ-Н Б.2.6-190:2013:</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α</m:t>
                    </m:r>
                  </m:e>
                  <m:sub>
                    <m:r>
                      <m:t>зл</m:t>
                    </m:r>
                  </m:sub>
                </m:sSub>
                <m:r>
                  <m:t>=</m:t>
                </m:r>
                <m:r>
                  <m:t>1.16</m:t>
                </m:r>
                <m:d>
                  <m:dPr>
                    <m:begChr m:val="("/>
                    <m:endChr m:val=")"/>
                  </m:dPr>
                  <m:e>
                    <m:r>
                      <m:t>5</m:t>
                    </m:r>
                    <m:r>
                      <m:t>+</m:t>
                    </m:r>
                    <m:r>
                      <m:t>10</m:t>
                    </m:r>
                    <m:sSup>
                      <m:e>
                        <m:r>
                          <m:t>υ</m:t>
                        </m:r>
                      </m:e>
                      <m:sup>
                        <m:r>
                          <m:t>0.5</m:t>
                        </m:r>
                      </m:sup>
                    </m:sSup>
                  </m:e>
                </m:d>
                <m:r>
                  <m:t>=</m:t>
                </m:r>
                <m:r>
                  <m:t>1.16</m:t>
                </m:r>
                <m:r>
                  <m:t>·</m:t>
                </m:r>
                <m:d>
                  <m:dPr>
                    <m:begChr m:val="("/>
                    <m:endChr m:val=")"/>
                  </m:dPr>
                  <m:e>
                    <m:r>
                      <m:t>5</m:t>
                    </m:r>
                    <m:r>
                      <m:t>+</m:t>
                    </m:r>
                    <m:r>
                      <m:t>10</m:t>
                    </m:r>
                    <m:r>
                      <m:t>·</m:t>
                    </m:r>
                    <m:sSup>
                      <m:e>
                        <m:r>
                          <m:t>4.2</m:t>
                        </m:r>
                      </m:e>
                      <m:sup>
                        <m:r>
                          <m:t>0.5</m:t>
                        </m:r>
                      </m:sup>
                    </m:sSup>
                  </m:e>
                </m:d>
                <m:r>
                  <m:t>=</m:t>
                </m:r>
                <m:r>
                  <m:t>29.573</m:t>
                </m:r>
                <m:r>
                  <m:t xml:space="preserve"> </m:t>
                </m:r>
                <m:f>
                  <m:num>
                    <m:r>
                      <m:t>Вт</m:t>
                    </m:r>
                  </m:num>
                  <m:den>
                    <m:sSup>
                      <m:e>
                        <m:r>
                          <m:t>м</m:t>
                        </m:r>
                      </m:e>
                      <m:sup>
                        <m:r>
                          <m:t>2</m:t>
                        </m:r>
                      </m:sup>
                    </m:sSup>
                    <m:r>
                      <m:t>·</m:t>
                    </m:r>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4" w:name="CadEE_Target_144"/>
            <w:r>
              <w:fldChar w:fldCharType="begin"/>
            </w:r>
            <w:r>
              <w:instrText xml:space="preserve"> SEQ CadEE_Formula \* ARABIC </w:instrText>
            </w:r>
            <w:r>
              <w:fldChar w:fldCharType="separate"/>
            </w:r>
            <w:r>
              <w:t xml:space="preserve">53</w:t>
            </w:r>
            <w:r>
              <w:fldChar w:fldCharType="end"/>
            </w:r>
            <w:bookmarkEnd w:id="144"/>
            <w:r>
              <w:t>)</w:t>
            </w:r>
          </w:p>
        </w:tc>
      </w:tr>
    </w:tbl>
    <w:p>
      <w:pPr>
        <w:pStyle w:val="CadEENormalText"/>
      </w:pPr>
      <w:r>
        <w:t xml:space="preserve">де </w:t>
      </w:r>
      <w:r>
        <w:rPr>
          <w:rFonts w:ascii="Cambria Math" w:hAnsi="Cambria Math" w:eastAsia="Cambria Math" w:cs="Cambria Math"/>
        </w:rPr>
        <w:t xml:space="preserve">υ</w:t>
      </w:r>
      <w:r>
        <w:t xml:space="preserve"> - швидкість вітру в літній період,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pPr>
      <w:r>
        <w:t xml:space="preserve">Коефіцієнт поглинання сонячної радіації матеріалом зовнішньої поверхні огороджувальної конструкції прийнято χ=0.52, як для алюміній матовий, згідно з табл. Б.1 ДСТУ-Н Б.2.6-190:2013.</w:t>
      </w:r>
    </w:p>
    <w:p>
      <w:pPr>
        <w:pStyle w:val="CadEENormalText"/>
      </w:pPr>
      <w:r>
        <w:t xml:space="preserve">Розрахункова амплітуда коливань температури зовнішнього повітря в липні визначаємо згідно з ф. (2) ДСТУ-Н Б.2.6-190:2013:</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A</m:t>
                    </m:r>
                  </m:e>
                  <m:sub>
                    <m:r>
                      <m:rPr>
                        <m:sty m:val="i"/>
                      </m:rPr>
                      <m:t>tзроз</m:t>
                    </m:r>
                  </m:sub>
                </m:sSub>
                <m:r>
                  <m:t>=</m:t>
                </m:r>
                <m:sSub>
                  <m:e>
                    <m:r>
                      <m:rPr>
                        <m:sty m:val="i"/>
                      </m:rPr>
                      <m:t>A</m:t>
                    </m:r>
                  </m:e>
                  <m:sub>
                    <m:r>
                      <m:rPr>
                        <m:sty m:val="i"/>
                      </m:rPr>
                      <m:t>tз</m:t>
                    </m:r>
                  </m:sub>
                </m:sSub>
                <m:r>
                  <m:t>+</m:t>
                </m:r>
                <m:f>
                  <m:num>
                    <m:r>
                      <m:t>χ</m:t>
                    </m:r>
                    <m:d>
                      <m:dPr>
                        <m:begChr m:val="("/>
                        <m:endChr m:val=")"/>
                      </m:dPr>
                      <m:e>
                        <m:sSub>
                          <m:e>
                            <m:r>
                              <m:rPr>
                                <m:sty m:val="i"/>
                              </m:rPr>
                              <m:t>I</m:t>
                            </m:r>
                          </m:e>
                          <m:sub>
                            <m:r>
                              <m:rPr>
                                <m:sty m:val="i"/>
                              </m:rPr>
                              <m:t>max</m:t>
                            </m:r>
                          </m:sub>
                        </m:sSub>
                        <m:r>
                          <m:t>−</m:t>
                        </m:r>
                        <m:sSub>
                          <m:e>
                            <m:r>
                              <m:rPr>
                                <m:sty m:val="i"/>
                              </m:rPr>
                              <m:t>I</m:t>
                            </m:r>
                          </m:e>
                          <m:sub>
                            <m:r>
                              <m:t>сер</m:t>
                            </m:r>
                          </m:sub>
                        </m:sSub>
                      </m:e>
                    </m:d>
                  </m:num>
                  <m:den>
                    <m:sSub>
                      <m:e>
                        <m:r>
                          <m:t>α</m:t>
                        </m:r>
                      </m:e>
                      <m:sub>
                        <m:r>
                          <m:t>зл</m:t>
                        </m:r>
                      </m:sub>
                    </m:sSub>
                  </m:den>
                </m:f>
                <m:r>
                  <m:t>=</m:t>
                </m:r>
                <m:r>
                  <m:t>10.2</m:t>
                </m:r>
                <m:r>
                  <m:t>+</m:t>
                </m:r>
                <m:f>
                  <m:num>
                    <m:r>
                      <m:t>0.52</m:t>
                    </m:r>
                    <m:r>
                      <m:t>·</m:t>
                    </m:r>
                    <m:d>
                      <m:dPr>
                        <m:begChr m:val="("/>
                        <m:endChr m:val=")"/>
                      </m:dPr>
                      <m:e>
                        <m:r>
                          <m:t>658</m:t>
                        </m:r>
                        <m:r>
                          <m:t>−</m:t>
                        </m:r>
                        <m:r>
                          <m:t>162</m:t>
                        </m:r>
                      </m:e>
                    </m:d>
                  </m:num>
                  <m:den>
                    <m:r>
                      <m:t>29.573</m:t>
                    </m:r>
                  </m:den>
                </m:f>
                <m:r>
                  <m:t>=</m:t>
                </m:r>
                <m:r>
                  <m:t>18.921</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5" w:name="CadEE_Target_145"/>
            <w:r>
              <w:fldChar w:fldCharType="begin"/>
            </w:r>
            <w:r>
              <w:instrText xml:space="preserve"> SEQ CadEE_Formula \* ARABIC </w:instrText>
            </w:r>
            <w:r>
              <w:fldChar w:fldCharType="separate"/>
            </w:r>
            <w:r>
              <w:t xml:space="preserve">54</w:t>
            </w:r>
            <w:r>
              <w:fldChar w:fldCharType="end"/>
            </w:r>
            <w:bookmarkEnd w:id="145"/>
            <w:r>
              <w:t>)</w:t>
            </w:r>
          </w:p>
        </w:tc>
      </w:tr>
    </w:tbl>
    <w:p>
      <w:pPr>
        <w:pStyle w:val="CadEENormalText"/>
      </w:pPr>
      <w:r>
        <w:t xml:space="preserve">де </w:t>
      </w:r>
      <w:r>
        <w:rPr>
          <w:rFonts w:ascii="Cambria Math" w:hAnsi="Cambria Math" w:eastAsia="Cambria Math" w:cs="Cambria Math"/>
        </w:rPr>
        <w:t xml:space="preserve">A</w:t>
      </w:r>
      <w:r>
        <w:rPr>
          <w:rFonts w:ascii="Cambria Math" w:hAnsi="Cambria Math" w:eastAsia="Cambria Math" w:cs="Cambria Math"/>
          <w:vertAlign w:val="subscript"/>
        </w:rPr>
        <w:t xml:space="preserve">tз</w:t>
      </w:r>
      <w:r>
        <w:t xml:space="preserve"> - амплітуда коливань температури зовнішнього повітря,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χ</w:t>
      </w:r>
      <w:r>
        <w:t xml:space="preserve"> - коефіцієнт поглинання сонячної радіації матеріалом,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max</w:t>
      </w:r>
      <w:r>
        <w:t xml:space="preserve"> - максимальна сумарна сонячна радіація,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сер</w:t>
      </w:r>
      <w:r>
        <w:t xml:space="preserve"> - середня сумарна сонячна радіація,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зл</w:t>
      </w:r>
      <w:r>
        <w:t xml:space="preserve"> - коефіцієнт тепловіддачі зовнішньої поверхні в літній період, див. п. </w:t>
      </w:r>
      <w:r>
        <w:fldChar w:fldCharType="begin"/>
      </w:r>
      <w:r>
        <w:instrText xml:space="preserve"> REF CadEE_Target_143 \n \h </w:instrText>
      </w:r>
      <w:r>
        <w:fldChar w:fldCharType="separate"/>
      </w:r>
      <w:r>
        <w:t xml:space="preserve">1.4.5</w:t>
      </w:r>
      <w:r>
        <w:fldChar w:fldCharType="end"/>
      </w:r>
      <w:r>
        <w:t xml:space="preserve">.</w:t>
      </w:r>
    </w:p>
    <w:p>
      <w:pPr>
        <w:pStyle w:val="CadEENormalText"/>
        <w:numPr>
          <w:ilvl w:val="2"/>
          <w:numId w:val="1"/>
        </w:numPr>
      </w:pPr>
      <w:bookmarkStart w:id="146" w:name="CadEE_Target_146"/>
      <w:r>
        <w:t xml:space="preserve">Визначення показника теплозасвоєння згідно з п. 4.13 ДСТУ-Н Б.2.6-190:2013:</w:t>
      </w:r>
      <w:bookmarkEnd w:id="14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Y</m:t>
                    </m:r>
                  </m:e>
                  <m:sub>
                    <m:r>
                      <m:t>1</m:t>
                    </m:r>
                  </m:sub>
                </m:sSub>
                <m:r>
                  <m:t>=</m:t>
                </m:r>
                <m:f>
                  <m:num>
                    <m:d>
                      <m:dPr>
                        <m:begChr m:val="("/>
                        <m:endChr m:val=")"/>
                      </m:dPr>
                      <m:e>
                        <m:sSub>
                          <m:e>
                            <m:r>
                              <m:rPr>
                                <m:sty m:val="i"/>
                              </m:rPr>
                              <m:t>R</m:t>
                            </m:r>
                          </m:e>
                          <m:sub>
                            <m:r>
                              <m:t>1</m:t>
                            </m:r>
                          </m:sub>
                        </m:sSub>
                        <m:sSubSup>
                          <m:e>
                            <m:r>
                              <m:rPr>
                                <m:sty m:val="i"/>
                              </m:rPr>
                              <m:t>s</m:t>
                            </m:r>
                          </m:e>
                          <m:sub>
                            <m:r>
                              <m:t>1</m:t>
                            </m:r>
                          </m:sub>
                          <m:sup>
                            <m:r>
                              <m:t>2</m:t>
                            </m:r>
                          </m:sup>
                        </m:sSubSup>
                        <m:r>
                          <m:t>+</m:t>
                        </m:r>
                        <m:sSub>
                          <m:e>
                            <m:r>
                              <m:rPr>
                                <m:sty m:val="i"/>
                              </m:rPr>
                              <m:t>h</m:t>
                            </m:r>
                          </m:e>
                          <m:sub>
                            <m:r>
                              <m:rPr>
                                <m:sty m:val="i"/>
                              </m:rPr>
                              <m:t>si</m:t>
                            </m:r>
                          </m:sub>
                        </m:sSub>
                      </m:e>
                    </m:d>
                  </m:num>
                  <m:den>
                    <m:d>
                      <m:dPr>
                        <m:begChr m:val="("/>
                        <m:endChr m:val=")"/>
                      </m:dPr>
                      <m:e>
                        <m:r>
                          <m:t>1</m:t>
                        </m:r>
                        <m:r>
                          <m:t>+</m:t>
                        </m:r>
                        <m:sSub>
                          <m:e>
                            <m:r>
                              <m:rPr>
                                <m:sty m:val="i"/>
                              </m:rPr>
                              <m:t>R</m:t>
                            </m:r>
                          </m:e>
                          <m:sub>
                            <m:r>
                              <m:t>1</m:t>
                            </m:r>
                          </m:sub>
                        </m:sSub>
                        <m:sSub>
                          <m:e>
                            <m:r>
                              <m:rPr>
                                <m:sty m:val="i"/>
                              </m:rPr>
                              <m:t>h</m:t>
                            </m:r>
                          </m:e>
                          <m:sub>
                            <m:r>
                              <m:rPr>
                                <m:sty m:val="i"/>
                              </m:rPr>
                              <m:t>si</m:t>
                            </m:r>
                          </m:sub>
                        </m:sSub>
                      </m:e>
                    </m:d>
                  </m:den>
                </m:f>
                <m:r>
                  <m:t>=</m:t>
                </m:r>
                <m:f>
                  <m:num>
                    <m:d>
                      <m:dPr>
                        <m:begChr m:val="("/>
                        <m:endChr m:val=")"/>
                      </m:dPr>
                      <m:e>
                        <m:r>
                          <m:t>1.105</m:t>
                        </m:r>
                        <m:r>
                          <m:t>·</m:t>
                        </m:r>
                        <m:sSup>
                          <m:e>
                            <m:r>
                              <m:t>0.2825</m:t>
                            </m:r>
                          </m:e>
                          <m:sup>
                            <m:r>
                              <m:t>2</m:t>
                            </m:r>
                          </m:sup>
                        </m:sSup>
                        <m:r>
                          <m:t>+</m:t>
                        </m:r>
                        <m:r>
                          <m:t>8.7</m:t>
                        </m:r>
                      </m:e>
                    </m:d>
                  </m:num>
                  <m:den>
                    <m:d>
                      <m:dPr>
                        <m:begChr m:val="("/>
                        <m:endChr m:val=")"/>
                      </m:dPr>
                      <m:e>
                        <m:r>
                          <m:t>1</m:t>
                        </m:r>
                        <m:r>
                          <m:t>+</m:t>
                        </m:r>
                        <m:r>
                          <m:t>1.105</m:t>
                        </m:r>
                        <m:r>
                          <m:t>·</m:t>
                        </m:r>
                        <m:r>
                          <m:t>8.7</m:t>
                        </m:r>
                      </m:e>
                    </m:d>
                  </m:den>
                </m:f>
                <m:r>
                  <m:t>=</m:t>
                </m:r>
                <m:r>
                  <m:t>0.828</m:t>
                </m:r>
                <m:r>
                  <m:t xml:space="preserve"> </m:t>
                </m:r>
                <m:f>
                  <m:num>
                    <m:r>
                      <m:t>Вт</m:t>
                    </m:r>
                  </m:num>
                  <m:den>
                    <m:sSup>
                      <m:e>
                        <m:r>
                          <m:t>м</m:t>
                        </m:r>
                      </m:e>
                      <m:sup>
                        <m:r>
                          <m:t>2</m:t>
                        </m:r>
                      </m:sup>
                    </m:sSup>
                    <m:r>
                      <m:t>·</m:t>
                    </m:r>
                    <m:r>
                      <m:t>°С</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7" w:name="CadEE_Target_147"/>
            <w:r>
              <w:fldChar w:fldCharType="begin"/>
            </w:r>
            <w:r>
              <w:instrText xml:space="preserve"> SEQ CadEE_Formula \* ARABIC </w:instrText>
            </w:r>
            <w:r>
              <w:fldChar w:fldCharType="separate"/>
            </w:r>
            <w:r>
              <w:t xml:space="preserve">55</w:t>
            </w:r>
            <w:r>
              <w:fldChar w:fldCharType="end"/>
            </w:r>
            <w:bookmarkEnd w:id="147"/>
            <w:r>
              <w:t>)</w:t>
            </w:r>
          </w:p>
        </w:tc>
      </w:tr>
    </w:tbl>
    <w:p>
      <w:pPr>
        <w:pStyle w:val="CadEENormalText"/>
      </w:pPr>
      <w:r>
        <w:t xml:space="preserve">де </w:t>
      </w:r>
      <w:r>
        <w:rPr>
          <w:rFonts w:ascii="Cambria Math" w:hAnsi="Cambria Math" w:eastAsia="Cambria Math" w:cs="Cambria Math"/>
        </w:rPr>
        <w:t xml:space="preserve">R</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CadEE_Target_31 \h </w:instrText>
      </w:r>
      <w:r>
        <w:fldChar w:fldCharType="separate"/>
      </w:r>
      <w:r>
        <w:t xml:space="preserve">10</w:t>
      </w:r>
      <w:r>
        <w:fldChar w:fldCharType="end"/>
      </w:r>
      <w:r>
        <w:t xml:space="preserve">); </w:t>
      </w:r>
      <w:r>
        <w:rPr>
          <w:rFonts w:ascii="Cambria Math" w:hAnsi="Cambria Math" w:eastAsia="Cambria Math" w:cs="Cambria Math"/>
        </w:rPr>
        <w:t xml:space="preserve">s</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CadEE_Target_140 \h </w:instrText>
      </w:r>
      <w:r>
        <w:fldChar w:fldCharType="separate"/>
      </w:r>
      <w:r>
        <w:t xml:space="preserve">50</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si</w:t>
      </w:r>
      <w:r>
        <w:t xml:space="preserve"> - те саме, що у формулі (</w:t>
      </w:r>
      <w:r>
        <w:fldChar w:fldCharType="begin"/>
      </w:r>
      <w:r>
        <w:instrText xml:space="preserve"> REF CadEE_Target_11 \h </w:instrText>
      </w:r>
      <w:r>
        <w:fldChar w:fldCharType="separate"/>
      </w:r>
      <w:r>
        <w:t xml:space="preserve">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Y</m:t>
                    </m:r>
                  </m:e>
                  <m:sub>
                    <m:r>
                      <m:t>2</m:t>
                    </m:r>
                  </m:sub>
                </m:sSub>
                <m:r>
                  <m:t>=</m:t>
                </m:r>
                <m:f>
                  <m:num>
                    <m:d>
                      <m:dPr>
                        <m:begChr m:val="("/>
                        <m:endChr m:val=")"/>
                      </m:dPr>
                      <m:e>
                        <m:sSub>
                          <m:e>
                            <m:r>
                              <m:rPr>
                                <m:sty m:val="i"/>
                              </m:rPr>
                              <m:t>R</m:t>
                            </m:r>
                          </m:e>
                          <m:sub>
                            <m:r>
                              <m:t>2</m:t>
                            </m:r>
                          </m:sub>
                        </m:sSub>
                        <m:sSubSup>
                          <m:e>
                            <m:r>
                              <m:rPr>
                                <m:sty m:val="i"/>
                              </m:rPr>
                              <m:t>s</m:t>
                            </m:r>
                          </m:e>
                          <m:sub>
                            <m:r>
                              <m:t>2</m:t>
                            </m:r>
                          </m:sub>
                          <m:sup>
                            <m:r>
                              <m:t>2</m:t>
                            </m:r>
                          </m:sup>
                        </m:sSubSup>
                        <m:r>
                          <m:t>+</m:t>
                        </m:r>
                        <m:sSub>
                          <m:e>
                            <m:r>
                              <m:rPr>
                                <m:sty m:val="i"/>
                              </m:rPr>
                              <m:t>Y</m:t>
                            </m:r>
                          </m:e>
                          <m:sub>
                            <m:r>
                              <m:t>1</m:t>
                            </m:r>
                          </m:sub>
                        </m:sSub>
                      </m:e>
                    </m:d>
                  </m:num>
                  <m:den>
                    <m:d>
                      <m:dPr>
                        <m:begChr m:val="("/>
                        <m:endChr m:val=")"/>
                      </m:dPr>
                      <m:e>
                        <m:r>
                          <m:t>1</m:t>
                        </m:r>
                        <m:r>
                          <m:t>+</m:t>
                        </m:r>
                        <m:sSub>
                          <m:e>
                            <m:r>
                              <m:rPr>
                                <m:sty m:val="i"/>
                              </m:rPr>
                              <m:t>R</m:t>
                            </m:r>
                          </m:e>
                          <m:sub>
                            <m:r>
                              <m:t>2</m:t>
                            </m:r>
                          </m:sub>
                        </m:sSub>
                        <m:sSub>
                          <m:e>
                            <m:r>
                              <m:rPr>
                                <m:sty m:val="i"/>
                              </m:rPr>
                              <m:t>Y</m:t>
                            </m:r>
                          </m:e>
                          <m:sub>
                            <m:r>
                              <m:t>1</m:t>
                            </m:r>
                          </m:sub>
                        </m:sSub>
                      </m:e>
                    </m:d>
                  </m:den>
                </m:f>
                <m:r>
                  <m:t>=</m:t>
                </m:r>
                <m:f>
                  <m:num>
                    <m:d>
                      <m:dPr>
                        <m:begChr m:val="("/>
                        <m:endChr m:val=")"/>
                      </m:dPr>
                      <m:e>
                        <m:r>
                          <m:t>1.111</m:t>
                        </m:r>
                        <m:r>
                          <m:t>·</m:t>
                        </m:r>
                        <m:sSup>
                          <m:e>
                            <m:r>
                              <m:t>0.28</m:t>
                            </m:r>
                          </m:e>
                          <m:sup>
                            <m:r>
                              <m:t>2</m:t>
                            </m:r>
                          </m:sup>
                        </m:sSup>
                        <m:r>
                          <m:t>+</m:t>
                        </m:r>
                        <m:r>
                          <m:t>0.828</m:t>
                        </m:r>
                      </m:e>
                    </m:d>
                  </m:num>
                  <m:den>
                    <m:d>
                      <m:dPr>
                        <m:begChr m:val="("/>
                        <m:endChr m:val=")"/>
                      </m:dPr>
                      <m:e>
                        <m:r>
                          <m:t>1</m:t>
                        </m:r>
                        <m:r>
                          <m:t>+</m:t>
                        </m:r>
                        <m:r>
                          <m:t>1.111</m:t>
                        </m:r>
                        <m:r>
                          <m:t>·</m:t>
                        </m:r>
                        <m:r>
                          <m:t>0.828</m:t>
                        </m:r>
                      </m:e>
                    </m:d>
                  </m:den>
                </m:f>
                <m:r>
                  <m:t>=</m:t>
                </m:r>
                <m:r>
                  <m:t>0.4766</m:t>
                </m:r>
                <m:r>
                  <m:t xml:space="preserve"> </m:t>
                </m:r>
                <m:f>
                  <m:num>
                    <m:r>
                      <m:t>Вт</m:t>
                    </m:r>
                  </m:num>
                  <m:den>
                    <m:sSup>
                      <m:e>
                        <m:r>
                          <m:t>м</m:t>
                        </m:r>
                      </m:e>
                      <m:sup>
                        <m:r>
                          <m:t>2</m:t>
                        </m:r>
                      </m:sup>
                    </m:sSup>
                    <m:r>
                      <m:t>·</m:t>
                    </m:r>
                    <m:r>
                      <m:t>°С</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8" w:name="CadEE_Target_148"/>
            <w:r>
              <w:fldChar w:fldCharType="begin"/>
            </w:r>
            <w:r>
              <w:instrText xml:space="preserve"> SEQ CadEE_Formula \* ARABIC </w:instrText>
            </w:r>
            <w:r>
              <w:fldChar w:fldCharType="separate"/>
            </w:r>
            <w:r>
              <w:t xml:space="preserve">56</w:t>
            </w:r>
            <w:r>
              <w:fldChar w:fldCharType="end"/>
            </w:r>
            <w:bookmarkEnd w:id="148"/>
            <w:r>
              <w:t>)</w:t>
            </w:r>
          </w:p>
        </w:tc>
      </w:tr>
    </w:tbl>
    <w:p>
      <w:pPr>
        <w:pStyle w:val="CadEENormalText"/>
      </w:pPr>
      <w:r>
        <w:t xml:space="preserve">де </w:t>
      </w:r>
      <w:r>
        <w:rPr>
          <w:rFonts w:ascii="Cambria Math" w:hAnsi="Cambria Math" w:eastAsia="Cambria Math" w:cs="Cambria Math"/>
        </w:rPr>
        <w:t xml:space="preserve">R</w:t>
      </w:r>
      <w:r>
        <w:rPr>
          <w:rFonts w:ascii="Cambria Math" w:hAnsi="Cambria Math" w:eastAsia="Cambria Math" w:cs="Cambria Math"/>
          <w:vertAlign w:val="subscript"/>
        </w:rPr>
        <w:t xml:space="preserve">2</w:t>
      </w:r>
      <w:r>
        <w:t xml:space="preserve"> - те саме, що у формулі (</w:t>
      </w:r>
      <w:r>
        <w:fldChar w:fldCharType="begin"/>
      </w:r>
      <w:r>
        <w:instrText xml:space="preserve"> REF CadEE_Target_32 \h </w:instrText>
      </w:r>
      <w:r>
        <w:fldChar w:fldCharType="separate"/>
      </w:r>
      <w:r>
        <w:t xml:space="preserve">11</w:t>
      </w:r>
      <w:r>
        <w:fldChar w:fldCharType="end"/>
      </w:r>
      <w:r>
        <w:t xml:space="preserve">); </w:t>
      </w:r>
      <w:r>
        <w:rPr>
          <w:rFonts w:ascii="Cambria Math" w:hAnsi="Cambria Math" w:eastAsia="Cambria Math" w:cs="Cambria Math"/>
        </w:rPr>
        <w:t xml:space="preserve">s</w:t>
      </w:r>
      <w:r>
        <w:rPr>
          <w:rFonts w:ascii="Cambria Math" w:hAnsi="Cambria Math" w:eastAsia="Cambria Math" w:cs="Cambria Math"/>
          <w:vertAlign w:val="subscript"/>
        </w:rPr>
        <w:t xml:space="preserve">2</w:t>
      </w:r>
      <w:r>
        <w:t xml:space="preserve"> - те саме, що у формулі (</w:t>
      </w:r>
      <w:r>
        <w:fldChar w:fldCharType="begin"/>
      </w:r>
      <w:r>
        <w:instrText xml:space="preserve"> REF CadEE_Target_141 \h </w:instrText>
      </w:r>
      <w:r>
        <w:fldChar w:fldCharType="separate"/>
      </w:r>
      <w:r>
        <w:t xml:space="preserve">51</w:t>
      </w:r>
      <w:r>
        <w:fldChar w:fldCharType="end"/>
      </w:r>
      <w:r>
        <w:t xml:space="preserve">); </w:t>
      </w:r>
      <w:r>
        <w:rPr>
          <w:rFonts w:ascii="Cambria Math" w:hAnsi="Cambria Math" w:eastAsia="Cambria Math" w:cs="Cambria Math"/>
        </w:rPr>
        <w:t xml:space="preserve">Y</w:t>
      </w:r>
      <w:r>
        <w:rPr>
          <w:rFonts w:ascii="Cambria Math" w:hAnsi="Cambria Math" w:eastAsia="Cambria Math" w:cs="Cambria Math"/>
          <w:vertAlign w:val="subscript"/>
        </w:rPr>
        <w:t xml:space="preserve">1</w:t>
      </w:r>
      <w:r>
        <w:t xml:space="preserve"> - показник теплозасвоєння поверхнею шару конструкції, див. п. </w:t>
      </w:r>
      <w:r>
        <w:fldChar w:fldCharType="begin"/>
      </w:r>
      <w:r>
        <w:instrText xml:space="preserve"> REF CadEE_Target_146 \n \h </w:instrText>
      </w:r>
      <w:r>
        <w:fldChar w:fldCharType="separate"/>
      </w:r>
      <w:r>
        <w:t xml:space="preserve">1.4.6</w:t>
      </w:r>
      <w:r>
        <w:fldChar w:fldCharType="end"/>
      </w:r>
      <w:r>
        <w:t xml:space="preserve">.</w:t>
      </w:r>
    </w:p>
    <w:p>
      <w:pPr>
        <w:pStyle w:val="CadEENormalText"/>
        <w:numPr>
          <w:ilvl w:val="2"/>
          <w:numId w:val="1"/>
        </w:numPr>
      </w:pPr>
      <w:bookmarkStart w:id="149" w:name="CadEE_Target_149"/>
      <w:r>
        <w:t xml:space="preserve">Визначення величини затухання розрахункової амплітуди коливань температури зовнішнього повітря в огороджувальній конструкції.</w:t>
      </w:r>
      <w:bookmarkEnd w:id="149"/>
    </w:p>
    <w:p>
      <w:pPr>
        <w:pStyle w:val="CadEENormalText"/>
      </w:pPr>
      <w:r>
        <w:t xml:space="preserve">Величина затухання розрахункової амплітуди коливань температури зовнішнього повітря в огороджувальній конструкції визначається згідно з ф. (3) ДСТУ-Н Б.2.6-190:2013:</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r>
                  <m:t>ν</m:t>
                </m:r>
                <m:r>
                  <m:t>=</m:t>
                </m:r>
                <m:r>
                  <m:t>0.9</m:t>
                </m:r>
                <m:sSup>
                  <m:e>
                    <m:r>
                      <m:rPr>
                        <m:sty m:val="i"/>
                      </m:rPr>
                      <m:t>e</m:t>
                    </m:r>
                  </m:e>
                  <m:sup>
                    <m:f>
                      <m:num>
                        <m:r>
                          <m:rPr>
                            <m:sty m:val="i"/>
                          </m:rPr>
                          <m:t>D</m:t>
                        </m:r>
                      </m:num>
                      <m:den>
                        <m:sSup>
                          <m:e>
                            <m:r>
                              <m:t>2</m:t>
                            </m:r>
                          </m:e>
                          <m:sup>
                            <m:r>
                              <m:t>0.5</m:t>
                            </m:r>
                          </m:sup>
                        </m:sSup>
                      </m:den>
                    </m:f>
                  </m:sup>
                </m:sSup>
                <m:f>
                  <m:num>
                    <m:d>
                      <m:dPr>
                        <m:begChr m:val="("/>
                        <m:endChr m:val=")"/>
                      </m:dPr>
                      <m:e>
                        <m:sSub>
                          <m:e>
                            <m:r>
                              <m:rPr>
                                <m:sty m:val="i"/>
                              </m:rPr>
                              <m:t>s</m:t>
                            </m:r>
                          </m:e>
                          <m:sub>
                            <m:r>
                              <m:t>1</m:t>
                            </m:r>
                          </m:sub>
                        </m:sSub>
                        <m:r>
                          <m:t>+</m:t>
                        </m:r>
                        <m:sSub>
                          <m:e>
                            <m:r>
                              <m:rPr>
                                <m:sty m:val="i"/>
                              </m:rPr>
                              <m:t>h</m:t>
                            </m:r>
                          </m:e>
                          <m:sub>
                            <m:r>
                              <m:rPr>
                                <m:sty m:val="i"/>
                              </m:rPr>
                              <m:t>si</m:t>
                            </m:r>
                          </m:sub>
                        </m:sSub>
                      </m:e>
                    </m:d>
                    <m:d>
                      <m:dPr>
                        <m:begChr m:val="("/>
                        <m:endChr m:val=")"/>
                      </m:dPr>
                      <m:e>
                        <m:sSub>
                          <m:e>
                            <m:r>
                              <m:rPr>
                                <m:sty m:val="i"/>
                              </m:rPr>
                              <m:t>s</m:t>
                            </m:r>
                          </m:e>
                          <m:sub>
                            <m:r>
                              <m:t>2</m:t>
                            </m:r>
                          </m:sub>
                        </m:sSub>
                        <m:r>
                          <m:t>+</m:t>
                        </m:r>
                        <m:sSub>
                          <m:e>
                            <m:r>
                              <m:rPr>
                                <m:sty m:val="i"/>
                              </m:rPr>
                              <m:t>Y</m:t>
                            </m:r>
                          </m:e>
                          <m:sub>
                            <m:r>
                              <m:t>1</m:t>
                            </m:r>
                          </m:sub>
                        </m:sSub>
                      </m:e>
                    </m:d>
                    <m:d>
                      <m:dPr>
                        <m:begChr m:val="("/>
                        <m:endChr m:val=")"/>
                      </m:dPr>
                      <m:e>
                        <m:sSub>
                          <m:e>
                            <m:r>
                              <m:t>α</m:t>
                            </m:r>
                          </m:e>
                          <m:sub>
                            <m:r>
                              <m:t>зл</m:t>
                            </m:r>
                          </m:sub>
                        </m:sSub>
                        <m:r>
                          <m:t>+</m:t>
                        </m:r>
                        <m:sSub>
                          <m:e>
                            <m:r>
                              <m:rPr>
                                <m:sty m:val="i"/>
                              </m:rPr>
                              <m:t>Y</m:t>
                            </m:r>
                          </m:e>
                          <m:sub>
                            <m:r>
                              <m:t>2</m:t>
                            </m:r>
                          </m:sub>
                        </m:sSub>
                      </m:e>
                    </m:d>
                  </m:num>
                  <m:den>
                    <m:d>
                      <m:dPr>
                        <m:begChr m:val="("/>
                        <m:endChr m:val=")"/>
                      </m:dPr>
                      <m:e>
                        <m:sSub>
                          <m:e>
                            <m:r>
                              <m:rPr>
                                <m:sty m:val="i"/>
                              </m:rPr>
                              <m:t>s</m:t>
                            </m:r>
                          </m:e>
                          <m:sub>
                            <m:r>
                              <m:t>1</m:t>
                            </m:r>
                          </m:sub>
                        </m:sSub>
                        <m:r>
                          <m:t>+</m:t>
                        </m:r>
                        <m:sSub>
                          <m:e>
                            <m:r>
                              <m:rPr>
                                <m:sty m:val="i"/>
                              </m:rPr>
                              <m:t>Y</m:t>
                            </m:r>
                          </m:e>
                          <m:sub>
                            <m:r>
                              <m:t>1</m:t>
                            </m:r>
                          </m:sub>
                        </m:sSub>
                      </m:e>
                    </m:d>
                    <m:d>
                      <m:dPr>
                        <m:begChr m:val="("/>
                        <m:endChr m:val=")"/>
                      </m:dPr>
                      <m:e>
                        <m:sSub>
                          <m:e>
                            <m:r>
                              <m:rPr>
                                <m:sty m:val="i"/>
                              </m:rPr>
                              <m:t>s</m:t>
                            </m:r>
                          </m:e>
                          <m:sub>
                            <m:r>
                              <m:t>2</m:t>
                            </m:r>
                          </m:sub>
                        </m:sSub>
                        <m:r>
                          <m:t>+</m:t>
                        </m:r>
                        <m:sSub>
                          <m:e>
                            <m:r>
                              <m:rPr>
                                <m:sty m:val="i"/>
                              </m:rPr>
                              <m:t>Y</m:t>
                            </m:r>
                          </m:e>
                          <m:sub>
                            <m:r>
                              <m:t>2</m:t>
                            </m:r>
                          </m:sub>
                        </m:sSub>
                      </m:e>
                    </m:d>
                    <m:sSub>
                      <m:e>
                        <m:r>
                          <m:t>α</m:t>
                        </m:r>
                      </m:e>
                      <m:sub>
                        <m:r>
                          <m:t>зл</m:t>
                        </m:r>
                      </m:sub>
                    </m:sSub>
                  </m:den>
                </m:f>
                <m:r>
                  <m:t>=</m:t>
                </m:r>
                <m:r>
                  <m:t>0.9</m:t>
                </m:r>
                <m:r>
                  <m:t>·</m:t>
                </m:r>
                <m:sSup>
                  <m:e>
                    <m:r>
                      <m:t>2.71828</m:t>
                    </m:r>
                  </m:e>
                  <m:sup>
                    <m:f>
                      <m:num>
                        <m:r>
                          <m:t>0.623</m:t>
                        </m:r>
                      </m:num>
                      <m:den>
                        <m:sSup>
                          <m:e>
                            <m:r>
                              <m:t>2</m:t>
                            </m:r>
                          </m:e>
                          <m:sup>
                            <m:r>
                              <m:t>0.5</m:t>
                            </m:r>
                          </m:sup>
                        </m:sSup>
                      </m:den>
                    </m:f>
                  </m:sup>
                </m:sSup>
                <m:r>
                  <m:t>·</m:t>
                </m:r>
                <m:f>
                  <m:num>
                    <m:d>
                      <m:dPr>
                        <m:begChr m:val="("/>
                        <m:endChr m:val=")"/>
                      </m:dPr>
                      <m:e>
                        <m:r>
                          <m:t>0.2825</m:t>
                        </m:r>
                        <m:r>
                          <m:t>+</m:t>
                        </m:r>
                        <m:r>
                          <m:t>8.7</m:t>
                        </m:r>
                      </m:e>
                    </m:d>
                    <m:r>
                      <m:t>·</m:t>
                    </m:r>
                    <m:d>
                      <m:dPr>
                        <m:begChr m:val="("/>
                        <m:endChr m:val=")"/>
                      </m:dPr>
                      <m:e>
                        <m:r>
                          <m:t>0.28</m:t>
                        </m:r>
                        <m:r>
                          <m:t>+</m:t>
                        </m:r>
                        <m:r>
                          <m:t>0.828</m:t>
                        </m:r>
                      </m:e>
                    </m:d>
                    <m:r>
                      <m:t>·</m:t>
                    </m:r>
                    <m:d>
                      <m:dPr>
                        <m:begChr m:val="("/>
                        <m:endChr m:val=")"/>
                      </m:dPr>
                      <m:e>
                        <m:r>
                          <m:t>29.573</m:t>
                        </m:r>
                        <m:r>
                          <m:t>+</m:t>
                        </m:r>
                        <m:r>
                          <m:t>0.4766</m:t>
                        </m:r>
                      </m:e>
                    </m:d>
                  </m:num>
                  <m:den>
                    <m:d>
                      <m:dPr>
                        <m:begChr m:val="("/>
                        <m:endChr m:val=")"/>
                      </m:dPr>
                      <m:e>
                        <m:r>
                          <m:t>0.2825</m:t>
                        </m:r>
                        <m:r>
                          <m:t>+</m:t>
                        </m:r>
                        <m:r>
                          <m:t>0.828</m:t>
                        </m:r>
                      </m:e>
                    </m:d>
                    <m:d>
                      <m:dPr>
                        <m:begChr m:val="("/>
                        <m:endChr m:val=")"/>
                      </m:dPr>
                      <m:e>
                        <m:r>
                          <m:t>0.28</m:t>
                        </m:r>
                        <m:r>
                          <m:t>+</m:t>
                        </m:r>
                        <m:r>
                          <m:t>0.4766</m:t>
                        </m:r>
                      </m:e>
                    </m:d>
                    <m:r>
                      <m:t>·</m:t>
                    </m:r>
                    <m:r>
                      <m:t>29.573</m:t>
                    </m:r>
                  </m:den>
                </m:f>
                <m:r>
                  <m:t>=</m:t>
                </m:r>
                <m:r>
                  <m:t>16.831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0" w:name="CadEE_Target_150"/>
            <w:r>
              <w:fldChar w:fldCharType="begin"/>
            </w:r>
            <w:r>
              <w:instrText xml:space="preserve"> SEQ CadEE_Formula \* ARABIC </w:instrText>
            </w:r>
            <w:r>
              <w:fldChar w:fldCharType="separate"/>
            </w:r>
            <w:r>
              <w:t xml:space="preserve">57</w:t>
            </w:r>
            <w:r>
              <w:fldChar w:fldCharType="end"/>
            </w:r>
            <w:bookmarkEnd w:id="150"/>
            <w:r>
              <w:t>)</w:t>
            </w:r>
          </w:p>
        </w:tc>
      </w:tr>
    </w:tbl>
    <w:p>
      <w:pPr>
        <w:pStyle w:val="CadEENormalText"/>
      </w:pPr>
      <w:r>
        <w:t xml:space="preserve">де </w:t>
      </w:r>
      <w:r>
        <w:rPr>
          <w:rFonts w:ascii="Cambria Math" w:hAnsi="Cambria Math" w:eastAsia="Cambria Math" w:cs="Cambria Math"/>
        </w:rPr>
        <w:t xml:space="preserve">e</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D</w:t>
      </w:r>
      <w:r>
        <w:t xml:space="preserve">, див. п. </w:t>
      </w:r>
      <w:r>
        <w:fldChar w:fldCharType="begin"/>
      </w:r>
      <w:r>
        <w:instrText xml:space="preserve"> REF CadEE_Target_139 \n \h </w:instrText>
      </w:r>
      <w:r>
        <w:fldChar w:fldCharType="separate"/>
      </w:r>
      <w:r>
        <w:t xml:space="preserve">1.4.4</w:t>
      </w:r>
      <w:r>
        <w:fldChar w:fldCharType="end"/>
      </w:r>
      <w:r>
        <w:t xml:space="preserve">; </w:t>
      </w:r>
      <w:r>
        <w:rPr>
          <w:rFonts w:ascii="Cambria Math" w:hAnsi="Cambria Math" w:eastAsia="Cambria Math" w:cs="Cambria Math"/>
        </w:rPr>
        <w:t xml:space="preserve">s</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CadEE_Target_140 \h </w:instrText>
      </w:r>
      <w:r>
        <w:fldChar w:fldCharType="separate"/>
      </w:r>
      <w:r>
        <w:t xml:space="preserve">50</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si</w:t>
      </w:r>
      <w:r>
        <w:t xml:space="preserve"> - те саме, що у формулі (</w:t>
      </w:r>
      <w:r>
        <w:fldChar w:fldCharType="begin"/>
      </w:r>
      <w:r>
        <w:instrText xml:space="preserve"> REF CadEE_Target_11 \h </w:instrText>
      </w:r>
      <w:r>
        <w:fldChar w:fldCharType="separate"/>
      </w:r>
      <w:r>
        <w:t xml:space="preserve">2</w:t>
      </w:r>
      <w:r>
        <w:fldChar w:fldCharType="end"/>
      </w:r>
      <w:r>
        <w:t xml:space="preserve">); </w:t>
      </w:r>
      <w:r>
        <w:rPr>
          <w:rFonts w:ascii="Cambria Math" w:hAnsi="Cambria Math" w:eastAsia="Cambria Math" w:cs="Cambria Math"/>
        </w:rPr>
        <w:t xml:space="preserve">Y</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CadEE_Target_148 \h </w:instrText>
      </w:r>
      <w:r>
        <w:fldChar w:fldCharType="separate"/>
      </w:r>
      <w:r>
        <w:t xml:space="preserve">56</w:t>
      </w:r>
      <w:r>
        <w:fldChar w:fldCharType="end"/>
      </w:r>
      <w:r>
        <w:t xml:space="preserve">); </w:t>
      </w:r>
      <w:r>
        <w:rPr>
          <w:rFonts w:ascii="Cambria Math" w:hAnsi="Cambria Math" w:eastAsia="Cambria Math" w:cs="Cambria Math"/>
        </w:rPr>
        <w:t xml:space="preserve">s</w:t>
      </w:r>
      <w:r>
        <w:rPr>
          <w:rFonts w:ascii="Cambria Math" w:hAnsi="Cambria Math" w:eastAsia="Cambria Math" w:cs="Cambria Math"/>
          <w:vertAlign w:val="subscript"/>
        </w:rPr>
        <w:t xml:space="preserve">2</w:t>
      </w:r>
      <w:r>
        <w:t xml:space="preserve"> - те саме, що у формулі (</w:t>
      </w:r>
      <w:r>
        <w:fldChar w:fldCharType="begin"/>
      </w:r>
      <w:r>
        <w:instrText xml:space="preserve"> REF CadEE_Target_141 \h </w:instrText>
      </w:r>
      <w:r>
        <w:fldChar w:fldCharType="separate"/>
      </w:r>
      <w:r>
        <w:t xml:space="preserve">51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зл</w:t>
      </w:r>
      <w:r>
        <w:t xml:space="preserve"> - те саме, що у формулі (</w:t>
      </w:r>
      <w:r>
        <w:fldChar w:fldCharType="begin"/>
      </w:r>
      <w:r>
        <w:instrText xml:space="preserve"> REF CadEE_Target_145 \h </w:instrText>
      </w:r>
      <w:r>
        <w:fldChar w:fldCharType="separate"/>
      </w:r>
      <w:r>
        <w:t xml:space="preserve">54</w:t>
      </w:r>
      <w:r>
        <w:fldChar w:fldCharType="end"/>
      </w:r>
      <w:r>
        <w:t xml:space="preserve">); </w:t>
      </w:r>
      <w:r>
        <w:rPr>
          <w:rFonts w:ascii="Cambria Math" w:hAnsi="Cambria Math" w:eastAsia="Cambria Math" w:cs="Cambria Math"/>
        </w:rPr>
        <w:t xml:space="preserve">Y</w:t>
      </w:r>
      <w:r>
        <w:rPr>
          <w:rFonts w:ascii="Cambria Math" w:hAnsi="Cambria Math" w:eastAsia="Cambria Math" w:cs="Cambria Math"/>
          <w:vertAlign w:val="subscript"/>
        </w:rPr>
        <w:t xml:space="preserve">2</w:t>
      </w:r>
      <w:r>
        <w:t xml:space="preserve"> - показник теплозасвоєння поверхнею шару конструкції, див. п. </w:t>
      </w:r>
      <w:r>
        <w:fldChar w:fldCharType="begin"/>
      </w:r>
      <w:r>
        <w:instrText xml:space="preserve"> REF CadEE_Target_146 \n \h </w:instrText>
      </w:r>
      <w:r>
        <w:fldChar w:fldCharType="separate"/>
      </w:r>
      <w:r>
        <w:t xml:space="preserve">1.4.6</w:t>
      </w:r>
      <w:r>
        <w:fldChar w:fldCharType="end"/>
      </w:r>
      <w:r>
        <w:t xml:space="preserve">.</w:t>
      </w:r>
    </w:p>
    <w:p>
      <w:pPr>
        <w:pStyle w:val="CadEENormalText"/>
        <w:numPr>
          <w:ilvl w:val="2"/>
          <w:numId w:val="1"/>
        </w:numPr>
      </w:pPr>
      <w:bookmarkStart w:id="151" w:name="CadEE_Target_151"/>
      <w:r>
        <w:t xml:space="preserve">Визначення амплітуди коливань температури внутрішньої поверхні огороджувальних конструкцій</w:t>
      </w:r>
      <w:bookmarkEnd w:id="151"/>
    </w:p>
    <w:p>
      <w:pPr>
        <w:pStyle w:val="CadEENormalText"/>
      </w:pPr>
      <w:r>
        <w:t xml:space="preserve">Амплітуда коливань температури внутрішньої поверхні огороджувальних конструкцій визначається згідно з ф. (1) ДСТУ-Н Б.2.6-190:2013:</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A</m:t>
                    </m:r>
                  </m:e>
                  <m:sub>
                    <m:r>
                      <m:t>θ‚si</m:t>
                    </m:r>
                  </m:sub>
                </m:sSub>
                <m:r>
                  <m:t>=</m:t>
                </m:r>
                <m:f>
                  <m:num>
                    <m:sSub>
                      <m:e>
                        <m:r>
                          <m:rPr>
                            <m:sty m:val="i"/>
                          </m:rPr>
                          <m:t>A</m:t>
                        </m:r>
                      </m:e>
                      <m:sub>
                        <m:r>
                          <m:rPr>
                            <m:sty m:val="i"/>
                          </m:rPr>
                          <m:t>tзроз</m:t>
                        </m:r>
                      </m:sub>
                    </m:sSub>
                  </m:num>
                  <m:den>
                    <m:r>
                      <m:t>ν</m:t>
                    </m:r>
                  </m:den>
                </m:f>
                <m:r>
                  <m:t>=</m:t>
                </m:r>
                <m:f>
                  <m:num>
                    <m:r>
                      <m:t>18.921</m:t>
                    </m:r>
                  </m:num>
                  <m:den>
                    <m:r>
                      <m:t>16.831</m:t>
                    </m:r>
                  </m:den>
                </m:f>
                <m:r>
                  <m:t>=</m:t>
                </m:r>
                <m:r>
                  <m:t>1.124</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2" w:name="CadEE_Target_152"/>
            <w:r>
              <w:fldChar w:fldCharType="begin"/>
            </w:r>
            <w:r>
              <w:instrText xml:space="preserve"> SEQ CadEE_Formula \* ARABIC </w:instrText>
            </w:r>
            <w:r>
              <w:fldChar w:fldCharType="separate"/>
            </w:r>
            <w:r>
              <w:t xml:space="preserve">58</w:t>
            </w:r>
            <w:r>
              <w:fldChar w:fldCharType="end"/>
            </w:r>
            <w:bookmarkEnd w:id="152"/>
            <w:r>
              <w:t>)</w:t>
            </w:r>
          </w:p>
        </w:tc>
      </w:tr>
    </w:tbl>
    <w:p>
      <w:pPr>
        <w:pStyle w:val="CadEENormalText"/>
      </w:pPr>
      <w:r>
        <w:t xml:space="preserve">де </w:t>
      </w:r>
      <w:r>
        <w:rPr>
          <w:rFonts w:ascii="Cambria Math" w:hAnsi="Cambria Math" w:eastAsia="Cambria Math" w:cs="Cambria Math"/>
        </w:rPr>
        <w:t xml:space="preserve">A</w:t>
      </w:r>
      <w:r>
        <w:rPr>
          <w:rFonts w:ascii="Cambria Math" w:hAnsi="Cambria Math" w:eastAsia="Cambria Math" w:cs="Cambria Math"/>
          <w:vertAlign w:val="subscript"/>
        </w:rPr>
        <w:t xml:space="preserve">tзроз</w:t>
      </w:r>
      <w:r>
        <w:t xml:space="preserve"> - розрахункова амплітуда коливань температури зовнішнього повітря, див. п. </w:t>
      </w:r>
      <w:r>
        <w:fldChar w:fldCharType="begin"/>
      </w:r>
      <w:r>
        <w:instrText xml:space="preserve"> REF CadEE_Target_143 \n \h </w:instrText>
      </w:r>
      <w:r>
        <w:fldChar w:fldCharType="separate"/>
      </w:r>
      <w:r>
        <w:t xml:space="preserve">1.4.5</w:t>
      </w:r>
      <w:r>
        <w:fldChar w:fldCharType="end"/>
      </w:r>
      <w:r>
        <w:t xml:space="preserve">; </w:t>
      </w:r>
      <w:r>
        <w:rPr>
          <w:rFonts w:ascii="Cambria Math" w:hAnsi="Cambria Math" w:eastAsia="Cambria Math" w:cs="Cambria Math"/>
        </w:rPr>
        <w:t xml:space="preserve">ν</w:t>
      </w:r>
      <w:r>
        <w:t xml:space="preserve">, див. п. </w:t>
      </w:r>
      <w:r>
        <w:fldChar w:fldCharType="begin"/>
      </w:r>
      <w:r>
        <w:instrText xml:space="preserve"> REF CadEE_Target_149 \n \h </w:instrText>
      </w:r>
      <w:r>
        <w:fldChar w:fldCharType="separate"/>
      </w:r>
      <w:r>
        <w:t xml:space="preserve">1.4.7</w:t>
      </w:r>
      <w:r>
        <w:fldChar w:fldCharType="end"/>
      </w:r>
      <w:r>
        <w:t xml:space="preserve">.</w:t>
      </w:r>
    </w:p>
    <w:p>
      <w:pPr>
        <w:pStyle w:val="CadEENormalText"/>
        <w:numPr>
          <w:ilvl w:val="2"/>
          <w:numId w:val="1"/>
        </w:numPr>
      </w:pPr>
      <w:bookmarkStart w:id="153" w:name="CadEE_Target_153"/>
      <w:r>
        <w:t xml:space="preserve">Оскільки:</w:t>
      </w:r>
      <w:bookmarkEnd w:id="153"/>
    </w:p>
    <w:p>
      <w:pPr>
        <w:pStyle w:val="CadEEEquationStyle"/>
      </w:pPr>
      <m:oMathPara>
        <m:oMath>
          <m:sSub>
            <m:e>
              <m:r>
                <m:rPr>
                  <m:sty m:val="i"/>
                </m:rPr>
                <m:t>A</m:t>
              </m:r>
            </m:e>
            <m:sub>
              <m:r>
                <m:t>θ‚si</m:t>
              </m:r>
            </m:sub>
          </m:sSub>
          <m:r>
            <m:t>=</m:t>
          </m:r>
          <m:r>
            <m:t>1.12</m:t>
          </m:r>
          <m:r>
            <m:t>°С</m:t>
          </m:r>
          <m:r>
            <m:t xml:space="preserve"> </m:t>
          </m:r>
          <m:r>
            <m:t>&lt;</m:t>
          </m:r>
          <m:r>
            <m:t xml:space="preserve"> </m:t>
          </m:r>
          <m:r>
            <m:t>1.5</m:t>
          </m:r>
          <m:r>
            <m:t>°С</m:t>
          </m:r>
        </m:oMath>
      </m:oMathPara>
    </w:p>
    <w:p>
      <w:pPr>
        <w:pStyle w:val="CadEENormalText"/>
      </w:pPr>
      <w:r>
        <w:t xml:space="preserve">то умова (7)  ДБН В.2.6-31:2021 - виконується.</w:t>
      </w:r>
    </w:p>
    <w:p>
      <w:r>
        <w:br w:type="page"/>
      </w:r>
    </w:p>
    <w:p>
      <w:pPr>
        <w:pStyle w:val="CadEEHeadingLevel1"/>
      </w:pPr>
      <w:r>
        <w:t xml:space="preserve">Додаток </w:t>
      </w:r>
      <w:bookmarkStart w:id="155" w:name="CadEE_Target_155"/>
      <w:r>
        <w:t xml:space="preserve">1</w:t>
      </w:r>
      <w:bookmarkEnd w:id="155"/>
      <w:r>
        <w:t xml:space="preserve">. стіна №1</w:t>
      </w:r>
    </w:p>
    <w:p>
      <w:pPr>
        <w:pStyle w:val="CadEEHeadingLevel2"/>
        <w:numPr>
          <w:ilvl w:val="1"/>
          <w:numId w:val="1"/>
        </w:numPr>
      </w:pPr>
      <w:bookmarkStart w:id="156" w:name="CadEE_Target_156"/>
      <w:r>
        <w:t xml:space="preserve">Розрахунок лінійного коефіцієнта теплопередачі Ψ: Стіна з термовключеннями</w:t>
      </w:r>
      <w:bookmarkEnd w:id="156"/>
    </w:p>
    <w:p>
      <w:pPr>
        <w:pStyle w:val="CadEEHeadingLevel3"/>
        <w:numPr>
          <w:ilvl w:val="2"/>
          <w:numId w:val="1"/>
        </w:numPr>
      </w:pPr>
      <w:bookmarkStart w:id="157" w:name="CadEE_Target_157"/>
      <w:r>
        <w:t xml:space="preserve">Конструкція вузла</w:t>
      </w:r>
      <w:bookmarkEnd w:id="157"/>
    </w:p>
    <w:p>
      <w:pPr>
        <w:pStyle w:val="CadEENormalText"/>
        <w:numPr>
          <w:ilvl w:val="3"/>
          <w:numId w:val="1"/>
        </w:numPr>
      </w:pPr>
      <w:bookmarkStart w:id="158" w:name="CadEE_Target_158"/>
      <w:r>
        <w:t xml:space="preserve">Вузол складається з 1 складових: Стіна.</w:t>
      </w:r>
      <w:bookmarkEnd w:id="158"/>
    </w:p>
    <w:p>
      <w:pPr>
        <w:pStyle w:val="CadEEHeadingLevel3"/>
        <w:numPr>
          <w:ilvl w:val="2"/>
          <w:numId w:val="1"/>
        </w:numPr>
      </w:pPr>
      <w:bookmarkStart w:id="159" w:name="CadEE_Target_159"/>
      <w:r>
        <w:t xml:space="preserve">Вихідні дані</w:t>
      </w:r>
      <w:bookmarkEnd w:id="159"/>
    </w:p>
    <w:p>
      <w:pPr>
        <w:pStyle w:val="CadEENormalText"/>
        <w:numPr>
          <w:ilvl w:val="3"/>
          <w:numId w:val="1"/>
        </w:numPr>
      </w:pPr>
      <w:bookmarkStart w:id="160" w:name="CadEE_Target_160"/>
      <w:r>
        <w:t xml:space="preserve">Розмір сітки: 2 × 7 (Nx × Ny). Мінімальна товщина шару: 0.0500 м. Загальна кількість вузлів: 24, кінцевих елементів: 14.</w:t>
      </w:r>
      <w:bookmarkEnd w:id="160"/>
    </w:p>
    <w:p>
      <w:pPr>
        <w:pStyle w:val="CadEENormalText"/>
        <w:numPr>
          <w:ilvl w:val="3"/>
          <w:numId w:val="1"/>
        </w:numPr>
      </w:pPr>
      <w:bookmarkStart w:id="161" w:name="CadEE_Target_161"/>
      <w:r>
        <w:t xml:space="preserve">Вузол містить 1 складових. Кожна складова визначає елемент конструкції з відповідними шарами матеріалів. Граничні умови для кожного елементу див. таблицю:</w:t>
      </w:r>
      <w:bookmarkEnd w:id="161"/>
    </w:p>
    <w:p>
      <w:pPr>
        <w:pStyle w:val="CadEETableCaption"/>
      </w:pPr>
      <w:r>
        <w:t xml:space="preserve">Таблиця №</w:t>
      </w:r>
      <w:bookmarkStart w:id="162" w:name="CadEE_Target_162"/>
      <w:r>
        <w:fldChar w:fldCharType="begin"/>
      </w:r>
      <w:r>
        <w:instrText xml:space="preserve"> SEQ CadEE_Table \* ARABIC </w:instrText>
      </w:r>
      <w:r>
        <w:fldChar w:fldCharType="separate"/>
      </w:r>
      <w:r>
        <w:t xml:space="preserve">1.1.1</w:t>
      </w:r>
      <w:r>
        <w:fldChar w:fldCharType="end"/>
      </w:r>
      <w:bookmarkEnd w:id="162"/>
      <w:r>
        <w:t xml:space="preserve">. Складові вузла</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2907"/>
        <w:gridCol w:w="1292"/>
        <w:gridCol w:w="1938"/>
        <w:gridCol w:w="1292"/>
        <w:gridCol w:w="1938"/>
        <w:gridCol w:w="969"/>
      </w:tblGrid>
      <w:tr>
        <w:trPr>
          <w:tblHeader/>
        </w:trPr>
        <w:tc>
          <w:tcPr>
            <w:tcW w:w="2907" w:type="dxa"/>
            <w:vAlign w:val="center"/>
            <w:tcMar>
              <w:top w:w="60" w:type="dxa"/>
              <w:left w:w="70" w:type="dxa"/>
              <w:bottom w:w="60" w:type="dxa"/>
              <w:right w:w="70" w:type="dxa"/>
            </w:tcMar>
            <w:shd w:val="clear" w:color="auto" w:fill="EDEDED"/>
          </w:tcPr>
          <w:p>
            <w:pPr>
              <w:pStyle w:val="CadEETableHeadStyle"/>
            </w:pPr>
            <w:r>
              <w:rPr>
                <w:b/>
              </w:rPr>
              <w:t>Назва конструкції</w:t>
            </w:r>
          </w:p>
        </w:tc>
        <w:tc>
          <w:tcPr>
            <w:tcW w:w="1292" w:type="dxa"/>
            <w:vAlign w:val="center"/>
            <w:tcMar>
              <w:top w:w="60" w:type="dxa"/>
              <w:left w:w="70" w:type="dxa"/>
              <w:bottom w:w="60" w:type="dxa"/>
              <w:right w:w="70" w:type="dxa"/>
            </w:tcMar>
            <w:shd w:val="clear" w:color="auto" w:fill="EDEDED"/>
          </w:tcPr>
          <w:p>
            <w:pPr>
              <w:pStyle w:val="CadEETableHeadStyle"/>
            </w:pPr>
            <w:r>
              <w:rPr>
                <w:b/>
              </w:rPr>
              <w:t>θsi, °C</w:t>
            </w:r>
          </w:p>
        </w:tc>
        <w:tc>
          <w:tcPr>
            <w:tcW w:w="1938" w:type="dxa"/>
            <w:vAlign w:val="center"/>
            <w:tcMar>
              <w:top w:w="60" w:type="dxa"/>
              <w:left w:w="70" w:type="dxa"/>
              <w:bottom w:w="60" w:type="dxa"/>
              <w:right w:w="70" w:type="dxa"/>
            </w:tcMar>
            <w:shd w:val="clear" w:color="auto" w:fill="EDEDED"/>
          </w:tcPr>
          <w:p>
            <w:pPr>
              <w:pStyle w:val="CadEETableHeadStyle"/>
            </w:pPr>
            <w:r>
              <w:rPr>
                <w:b/>
              </w:rPr>
              <w:t>hsi, Вт/(м²·К)</w:t>
            </w:r>
          </w:p>
        </w:tc>
        <w:tc>
          <w:tcPr>
            <w:tcW w:w="1292" w:type="dxa"/>
            <w:vAlign w:val="center"/>
            <w:tcMar>
              <w:top w:w="60" w:type="dxa"/>
              <w:left w:w="70" w:type="dxa"/>
              <w:bottom w:w="60" w:type="dxa"/>
              <w:right w:w="70" w:type="dxa"/>
            </w:tcMar>
            <w:shd w:val="clear" w:color="auto" w:fill="EDEDED"/>
          </w:tcPr>
          <w:p>
            <w:pPr>
              <w:pStyle w:val="CadEETableHeadStyle"/>
            </w:pPr>
            <w:r>
              <w:rPr>
                <w:b/>
              </w:rPr>
              <w:t>Ose, °C</w:t>
            </w:r>
          </w:p>
        </w:tc>
        <w:tc>
          <w:tcPr>
            <w:tcW w:w="1938" w:type="dxa"/>
            <w:vAlign w:val="center"/>
            <w:tcMar>
              <w:top w:w="60" w:type="dxa"/>
              <w:left w:w="70" w:type="dxa"/>
              <w:bottom w:w="60" w:type="dxa"/>
              <w:right w:w="70" w:type="dxa"/>
            </w:tcMar>
            <w:shd w:val="clear" w:color="auto" w:fill="EDEDED"/>
          </w:tcPr>
          <w:p>
            <w:pPr>
              <w:pStyle w:val="CadEETableHeadStyle"/>
            </w:pPr>
            <w:r>
              <w:rPr>
                <w:b/>
              </w:rPr>
              <w:t>hse, Вт/(м²·К)</w:t>
            </w:r>
          </w:p>
        </w:tc>
        <w:tc>
          <w:tcPr>
            <w:tcW w:w="969" w:type="dxa"/>
            <w:vAlign w:val="center"/>
            <w:tcMar>
              <w:top w:w="60" w:type="dxa"/>
              <w:left w:w="70" w:type="dxa"/>
              <w:bottom w:w="60" w:type="dxa"/>
              <w:right w:w="70" w:type="dxa"/>
            </w:tcMar>
            <w:shd w:val="clear" w:color="auto" w:fill="EDEDED"/>
          </w:tcPr>
          <w:p>
            <w:pPr>
              <w:pStyle w:val="CadEETableHeadStyle"/>
            </w:pPr>
            <w:r>
              <w:rPr>
                <w:b/>
              </w:rPr>
              <w:t>Шари, (шт)</w:t>
            </w:r>
          </w:p>
        </w:tc>
      </w:tr>
      <w:tr>
        <w:tc>
          <w:tcPr>
            <w:tcW w:w="2907" w:type="dxa"/>
            <w:vAlign w:val="center"/>
            <w:tcMar>
              <w:top w:w="60" w:type="dxa"/>
              <w:left w:w="70" w:type="dxa"/>
              <w:bottom w:w="60" w:type="dxa"/>
              <w:right w:w="70" w:type="dxa"/>
            </w:tcMar>
          </w:tcPr>
          <w:p>
            <w:pPr>
              <w:pStyle w:val="CadEETableStyle"/>
            </w:pPr>
            <w:r>
              <w:t>стіна №1</w:t>
            </w:r>
          </w:p>
        </w:tc>
        <w:tc>
          <w:tcPr>
            <w:tcW w:w="1292" w:type="dxa"/>
            <w:vAlign w:val="center"/>
            <w:tcMar>
              <w:top w:w="60" w:type="dxa"/>
              <w:left w:w="70" w:type="dxa"/>
              <w:bottom w:w="60" w:type="dxa"/>
              <w:right w:w="70" w:type="dxa"/>
            </w:tcMar>
          </w:tcPr>
          <w:p>
            <w:pPr>
              <w:pStyle w:val="CadEETableStyle"/>
            </w:pPr>
            <w:r>
              <w:t>20.0</w:t>
            </w:r>
          </w:p>
        </w:tc>
        <w:tc>
          <w:tcPr>
            <w:tcW w:w="1938" w:type="dxa"/>
            <w:vAlign w:val="center"/>
            <w:tcMar>
              <w:top w:w="60" w:type="dxa"/>
              <w:left w:w="70" w:type="dxa"/>
              <w:bottom w:w="60" w:type="dxa"/>
              <w:right w:w="70" w:type="dxa"/>
            </w:tcMar>
          </w:tcPr>
          <w:p>
            <w:pPr>
              <w:pStyle w:val="CadEETableStyle"/>
            </w:pPr>
            <w:r>
              <w:t>8.7</w:t>
            </w:r>
          </w:p>
        </w:tc>
        <w:tc>
          <w:tcPr>
            <w:tcW w:w="1292" w:type="dxa"/>
            <w:vAlign w:val="center"/>
            <w:tcMar>
              <w:top w:w="60" w:type="dxa"/>
              <w:left w:w="70" w:type="dxa"/>
              <w:bottom w:w="60" w:type="dxa"/>
              <w:right w:w="70" w:type="dxa"/>
            </w:tcMar>
          </w:tcPr>
          <w:p>
            <w:pPr>
              <w:pStyle w:val="CadEETableStyle"/>
            </w:pPr>
            <w:r>
              <w:t>-22.0</w:t>
            </w:r>
          </w:p>
        </w:tc>
        <w:tc>
          <w:tcPr>
            <w:tcW w:w="1938" w:type="dxa"/>
            <w:vAlign w:val="center"/>
            <w:tcMar>
              <w:top w:w="60" w:type="dxa"/>
              <w:left w:w="70" w:type="dxa"/>
              <w:bottom w:w="60" w:type="dxa"/>
              <w:right w:w="70" w:type="dxa"/>
            </w:tcMar>
          </w:tcPr>
          <w:p>
            <w:pPr>
              <w:pStyle w:val="CadEETableStyle"/>
            </w:pPr>
            <w:r>
              <w:t>23.0</w:t>
            </w:r>
          </w:p>
        </w:tc>
        <w:tc>
          <w:tcPr>
            <w:tcW w:w="969" w:type="dxa"/>
            <w:vAlign w:val="center"/>
            <w:tcMar>
              <w:top w:w="60" w:type="dxa"/>
              <w:left w:w="70" w:type="dxa"/>
              <w:bottom w:w="60" w:type="dxa"/>
              <w:right w:w="70" w:type="dxa"/>
            </w:tcMar>
          </w:tcPr>
          <w:p>
            <w:pPr>
              <w:pStyle w:val="CadEETableStyle"/>
            </w:pPr>
            <w:r>
              <w:t>2</w:t>
            </w:r>
          </w:p>
        </w:tc>
      </w:tr>
    </w:tbl>
    <w:p>
      <w:pPr>
        <w:spacing w:before="0" w:after="0" w:line="80" w:lineRule="exact"/>
      </w:pPr>
    </w:p>
    <w:p>
      <w:pPr>
        <w:pStyle w:val="CadEENormalText"/>
        <w:numPr>
          <w:ilvl w:val="3"/>
          <w:numId w:val="1"/>
        </w:numPr>
      </w:pPr>
      <w:bookmarkStart w:id="163" w:name="CadEE_Target_163"/>
      <w:r>
        <w:t xml:space="preserve">Складова «Стіна» містить 2 шарів. Для кожного шару вказано матеріал, товщину та коефіцієнт теплопровідності.</w:t>
      </w:r>
      <w:bookmarkEnd w:id="163"/>
    </w:p>
    <w:p>
      <w:pPr>
        <w:pStyle w:val="CadEETableCaption"/>
      </w:pPr>
      <w:r>
        <w:t xml:space="preserve">Таблиця №</w:t>
      </w:r>
      <w:bookmarkStart w:id="164" w:name="CadEE_Target_164"/>
      <w:r>
        <w:fldChar w:fldCharType="begin"/>
      </w:r>
      <w:r>
        <w:instrText xml:space="preserve"> SEQ CadEE_Table \* ARABIC </w:instrText>
      </w:r>
      <w:r>
        <w:fldChar w:fldCharType="separate"/>
      </w:r>
      <w:r>
        <w:t xml:space="preserve">1.1.2</w:t>
      </w:r>
      <w:r>
        <w:fldChar w:fldCharType="end"/>
      </w:r>
      <w:bookmarkEnd w:id="164"/>
      <w:r>
        <w:t xml:space="preserve">. Шари складової Стіна</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1033"/>
        <w:gridCol w:w="3617"/>
        <w:gridCol w:w="1550"/>
        <w:gridCol w:w="1550"/>
        <w:gridCol w:w="1033"/>
        <w:gridCol w:w="1550"/>
      </w:tblGrid>
      <w:tr>
        <w:trPr>
          <w:tblHeader/>
        </w:trPr>
        <w:tc>
          <w:tcPr>
            <w:tcW w:w="1033" w:type="dxa"/>
            <w:vAlign w:val="center"/>
            <w:tcMar>
              <w:top w:w="60" w:type="dxa"/>
              <w:left w:w="70" w:type="dxa"/>
              <w:bottom w:w="60" w:type="dxa"/>
              <w:right w:w="70" w:type="dxa"/>
            </w:tcMar>
            <w:shd w:val="clear" w:color="auto" w:fill="EDEDED"/>
          </w:tcPr>
          <w:p>
            <w:pPr>
              <w:pStyle w:val="CadEETableHeadStyle"/>
            </w:pPr>
            <w:r>
              <w:rPr>
                <w:b/>
              </w:rPr>
              <w:t>№</w:t>
            </w:r>
          </w:p>
        </w:tc>
        <w:tc>
          <w:tcPr>
            <w:tcW w:w="3617" w:type="dxa"/>
            <w:vAlign w:val="center"/>
            <w:tcMar>
              <w:top w:w="60" w:type="dxa"/>
              <w:left w:w="70" w:type="dxa"/>
              <w:bottom w:w="60" w:type="dxa"/>
              <w:right w:w="70" w:type="dxa"/>
            </w:tcMar>
            <w:shd w:val="clear" w:color="auto" w:fill="EDEDED"/>
          </w:tcPr>
          <w:p>
            <w:pPr>
              <w:pStyle w:val="CadEETableHeadStyle"/>
            </w:pPr>
            <w:r>
              <w:rPr>
                <w:b/>
              </w:rPr>
              <w:t>Матеріал</w:t>
            </w:r>
          </w:p>
        </w:tc>
        <w:tc>
          <w:tcPr>
            <w:tcW w:w="1550" w:type="dxa"/>
            <w:vAlign w:val="center"/>
            <w:tcMar>
              <w:top w:w="60" w:type="dxa"/>
              <w:left w:w="70" w:type="dxa"/>
              <w:bottom w:w="60" w:type="dxa"/>
              <w:right w:w="70" w:type="dxa"/>
            </w:tcMar>
            <w:shd w:val="clear" w:color="auto" w:fill="EDEDED"/>
          </w:tcPr>
          <w:p>
            <w:pPr>
              <w:pStyle w:val="CadEETableHeadStyle"/>
            </w:pPr>
            <w:r>
              <w:rPr>
                <w:b/>
              </w:rPr>
              <w:t>Товщина, м</w:t>
            </w:r>
          </w:p>
        </w:tc>
        <w:tc>
          <w:tcPr>
            <w:tcW w:w="1550" w:type="dxa"/>
            <w:vAlign w:val="center"/>
            <w:tcMar>
              <w:top w:w="60" w:type="dxa"/>
              <w:left w:w="70" w:type="dxa"/>
              <w:bottom w:w="60" w:type="dxa"/>
              <w:right w:w="70" w:type="dxa"/>
            </w:tcMar>
            <w:shd w:val="clear" w:color="auto" w:fill="EDEDED"/>
          </w:tcPr>
          <w:p>
            <w:pPr>
              <w:pStyle w:val="CadEETableHeadStyle"/>
            </w:pPr>
            <w:r>
              <w:rPr>
                <w:b/>
              </w:rPr>
              <w:t>λ, Вт/(м·К)</w:t>
            </w:r>
          </w:p>
        </w:tc>
        <w:tc>
          <w:tcPr>
            <w:tcW w:w="1033" w:type="dxa"/>
            <w:vAlign w:val="center"/>
            <w:tcMar>
              <w:top w:w="60" w:type="dxa"/>
              <w:left w:w="70" w:type="dxa"/>
              <w:bottom w:w="60" w:type="dxa"/>
              <w:right w:w="70" w:type="dxa"/>
            </w:tcMar>
            <w:shd w:val="clear" w:color="auto" w:fill="EDEDED"/>
          </w:tcPr>
          <w:p>
            <w:pPr>
              <w:pStyle w:val="CadEETableHeadStyle"/>
            </w:pPr>
            <w:r>
              <w:rPr>
                <w:b/>
              </w:rPr>
              <w:t>З'єднання</w:t>
            </w:r>
          </w:p>
        </w:tc>
        <w:tc>
          <w:tcPr>
            <w:tcW w:w="1550" w:type="dxa"/>
            <w:vAlign w:val="center"/>
            <w:tcMar>
              <w:top w:w="60" w:type="dxa"/>
              <w:left w:w="70" w:type="dxa"/>
              <w:bottom w:w="60" w:type="dxa"/>
              <w:right w:w="70" w:type="dxa"/>
            </w:tcMar>
            <w:shd w:val="clear" w:color="auto" w:fill="EDEDED"/>
          </w:tcPr>
          <w:p>
            <w:pPr>
              <w:pStyle w:val="CadEETableHeadStyle"/>
            </w:pPr>
            <w:r>
              <w:rPr>
                <w:b/>
              </w:rPr>
              <w:t>Активний</w:t>
            </w:r>
          </w:p>
        </w:tc>
      </w:tr>
      <w:tr>
        <w:tc>
          <w:tcPr>
            <w:tcW w:w="1033" w:type="dxa"/>
            <w:vAlign w:val="center"/>
            <w:tcMar>
              <w:top w:w="60" w:type="dxa"/>
              <w:left w:w="70" w:type="dxa"/>
              <w:bottom w:w="60" w:type="dxa"/>
              <w:right w:w="70" w:type="dxa"/>
            </w:tcMar>
          </w:tcPr>
          <w:p>
            <w:pPr>
              <w:pStyle w:val="CadEETableStyle"/>
            </w:pPr>
            <w:r>
              <w:t>0</w:t>
            </w:r>
          </w:p>
        </w:tc>
        <w:tc>
          <w:tcPr>
            <w:tcW w:w="3617" w:type="dxa"/>
            <w:vAlign w:val="center"/>
            <w:tcMar>
              <w:top w:w="60" w:type="dxa"/>
              <w:left w:w="70" w:type="dxa"/>
              <w:bottom w:w="60" w:type="dxa"/>
              <w:right w:w="70" w:type="dxa"/>
            </w:tcMar>
          </w:tcPr>
          <w:p>
            <w:pPr>
              <w:pStyle w:val="CadEETableStyle"/>
            </w:pPr>
            <w:r>
              <w:t>Спінений пінополістирол ρ=15 кг/м3</w:t>
            </w:r>
          </w:p>
        </w:tc>
        <w:tc>
          <w:tcPr>
            <w:tcW w:w="1550" w:type="dxa"/>
            <w:vAlign w:val="center"/>
            <w:tcMar>
              <w:top w:w="60" w:type="dxa"/>
              <w:left w:w="70" w:type="dxa"/>
              <w:bottom w:w="60" w:type="dxa"/>
              <w:right w:w="70" w:type="dxa"/>
            </w:tcMar>
          </w:tcPr>
          <w:p>
            <w:pPr>
              <w:pStyle w:val="CadEETableStyle"/>
            </w:pPr>
            <w:r>
              <w:t>0.05</w:t>
            </w:r>
          </w:p>
        </w:tc>
        <w:tc>
          <w:tcPr>
            <w:tcW w:w="1550" w:type="dxa"/>
            <w:vAlign w:val="center"/>
            <w:tcMar>
              <w:top w:w="60" w:type="dxa"/>
              <w:left w:w="70" w:type="dxa"/>
              <w:bottom w:w="60" w:type="dxa"/>
              <w:right w:w="70" w:type="dxa"/>
            </w:tcMar>
          </w:tcPr>
          <w:p>
            <w:pPr>
              <w:pStyle w:val="CadEETableStyle"/>
            </w:pPr>
            <w:r>
              <w:t>0.0550</w:t>
            </w:r>
          </w:p>
        </w:tc>
        <w:tc>
          <w:tcPr>
            <w:tcW w:w="1033" w:type="dxa"/>
            <w:vAlign w:val="center"/>
            <w:tcMar>
              <w:top w:w="60" w:type="dxa"/>
              <w:left w:w="70" w:type="dxa"/>
              <w:bottom w:w="60" w:type="dxa"/>
              <w:right w:w="70" w:type="dxa"/>
            </w:tcMar>
          </w:tcPr>
          <w:p>
            <w:pPr>
              <w:pStyle w:val="CadEETableStyle"/>
            </w:pPr>
            <w:r>
              <w:t>1</w:t>
            </w:r>
          </w:p>
        </w:tc>
        <w:tc>
          <w:tcPr>
            <w:tcW w:w="1550" w:type="dxa"/>
            <w:vAlign w:val="center"/>
            <w:tcMar>
              <w:top w:w="60" w:type="dxa"/>
              <w:left w:w="70" w:type="dxa"/>
              <w:bottom w:w="60" w:type="dxa"/>
              <w:right w:w="70" w:type="dxa"/>
            </w:tcMar>
          </w:tcPr>
          <w:p>
            <w:pPr>
              <w:pStyle w:val="CadEETableStyle"/>
            </w:pPr>
            <w:r>
              <w:t>Так</w:t>
            </w:r>
          </w:p>
        </w:tc>
      </w:tr>
      <w:tr>
        <w:tc>
          <w:tcPr>
            <w:tcW w:w="1033" w:type="dxa"/>
            <w:vAlign w:val="center"/>
            <w:tcMar>
              <w:top w:w="60" w:type="dxa"/>
              <w:left w:w="70" w:type="dxa"/>
              <w:bottom w:w="60" w:type="dxa"/>
              <w:right w:w="70" w:type="dxa"/>
            </w:tcMar>
          </w:tcPr>
          <w:p>
            <w:pPr>
              <w:pStyle w:val="CadEETableStyle"/>
            </w:pPr>
            <w:r>
              <w:t>1</w:t>
            </w:r>
          </w:p>
        </w:tc>
        <w:tc>
          <w:tcPr>
            <w:tcW w:w="3617" w:type="dxa"/>
            <w:vAlign w:val="center"/>
            <w:tcMar>
              <w:top w:w="60" w:type="dxa"/>
              <w:left w:w="70" w:type="dxa"/>
              <w:bottom w:w="60" w:type="dxa"/>
              <w:right w:w="70" w:type="dxa"/>
            </w:tcMar>
          </w:tcPr>
          <w:p>
            <w:pPr>
              <w:pStyle w:val="CadEETableStyle"/>
            </w:pPr>
            <w:r>
              <w:t>Спінений пінополістирол ρ=15 кг/м3</w:t>
            </w:r>
          </w:p>
        </w:tc>
        <w:tc>
          <w:tcPr>
            <w:tcW w:w="1550" w:type="dxa"/>
            <w:vAlign w:val="center"/>
            <w:tcMar>
              <w:top w:w="60" w:type="dxa"/>
              <w:left w:w="70" w:type="dxa"/>
              <w:bottom w:w="60" w:type="dxa"/>
              <w:right w:w="70" w:type="dxa"/>
            </w:tcMar>
          </w:tcPr>
          <w:p>
            <w:pPr>
              <w:pStyle w:val="CadEETableStyle"/>
            </w:pPr>
            <w:r>
              <w:t>0.05</w:t>
            </w:r>
          </w:p>
        </w:tc>
        <w:tc>
          <w:tcPr>
            <w:tcW w:w="1550" w:type="dxa"/>
            <w:vAlign w:val="center"/>
            <w:tcMar>
              <w:top w:w="60" w:type="dxa"/>
              <w:left w:w="70" w:type="dxa"/>
              <w:bottom w:w="60" w:type="dxa"/>
              <w:right w:w="70" w:type="dxa"/>
            </w:tcMar>
          </w:tcPr>
          <w:p>
            <w:pPr>
              <w:pStyle w:val="CadEETableStyle"/>
            </w:pPr>
            <w:r>
              <w:t>0.0550</w:t>
            </w:r>
          </w:p>
        </w:tc>
        <w:tc>
          <w:tcPr>
            <w:tcW w:w="1033" w:type="dxa"/>
            <w:vAlign w:val="center"/>
            <w:tcMar>
              <w:top w:w="60" w:type="dxa"/>
              <w:left w:w="70" w:type="dxa"/>
              <w:bottom w:w="60" w:type="dxa"/>
              <w:right w:w="70" w:type="dxa"/>
            </w:tcMar>
          </w:tcPr>
          <w:p>
            <w:pPr>
              <w:pStyle w:val="CadEETableStyle"/>
            </w:pPr>
            <w:r>
              <w:t>2</w:t>
            </w:r>
          </w:p>
        </w:tc>
        <w:tc>
          <w:tcPr>
            <w:tcW w:w="1550" w:type="dxa"/>
            <w:vAlign w:val="center"/>
            <w:tcMar>
              <w:top w:w="60" w:type="dxa"/>
              <w:left w:w="70" w:type="dxa"/>
              <w:bottom w:w="60" w:type="dxa"/>
              <w:right w:w="70" w:type="dxa"/>
            </w:tcMar>
          </w:tcPr>
          <w:p>
            <w:pPr>
              <w:pStyle w:val="CadEETableStyle"/>
            </w:pPr>
            <w:r>
              <w:t>Так</w:t>
            </w:r>
          </w:p>
        </w:tc>
      </w:tr>
    </w:tbl>
    <w:p>
      <w:pPr>
        <w:spacing w:before="0" w:after="0" w:line="80" w:lineRule="exact"/>
      </w:pPr>
    </w:p>
    <w:p>
      <w:pPr>
        <w:pStyle w:val="CadEEHeadingLevel3"/>
        <w:numPr>
          <w:ilvl w:val="2"/>
          <w:numId w:val="1"/>
        </w:numPr>
      </w:pPr>
      <w:bookmarkStart w:id="165" w:name="CadEE_Target_165"/>
      <w:r>
        <w:t xml:space="preserve">Розрахунок лінійного коефіцієнту термічного включення</w:t>
      </w:r>
      <w:bookmarkEnd w:id="165"/>
    </w:p>
    <w:p>
      <w:pPr>
        <w:pStyle w:val="CadEENormalText"/>
        <w:numPr>
          <w:ilvl w:val="3"/>
          <w:numId w:val="1"/>
        </w:numPr>
      </w:pPr>
      <w:bookmarkStart w:id="166" w:name="CadEE_Target_166"/>
      <w:r>
        <w:t xml:space="preserve">На основі розрахункової схеми проведено розрахунок методом скінченних елементів (МСЕ) та отримано розподіл температур у вузлах розрахункової моделі. Розрахунок див. Додаток А.</w:t>
      </w:r>
      <w:bookmarkEnd w:id="166"/>
    </w:p>
    <w:p>
      <w:pPr>
        <w:pStyle w:val="CadEENormalText"/>
        <w:numPr>
          <w:ilvl w:val="3"/>
          <w:numId w:val="1"/>
        </w:numPr>
      </w:pPr>
      <w:bookmarkStart w:id="167" w:name="CadEE_Target_167"/>
      <w:r>
        <w:t xml:space="preserve">Тепловий потік у кожному кінцевому елементі визначають за температурами у вузлах елемента шляхом обчислення середніх градієнтів температури за координатними напрямками та подальшого застосування закону Фур’є. Отримані складові густини теплового потоку перемножують на відповідний розмір грані елемента, унаслідок чого визначають лінійний тепловий потік через грань елемента. Загальний тепловий потік через вузол встановлюють сумуванням потоків через граничні елементи розрахункової моделі. Розрахунок див. Додаток А.</w:t>
      </w:r>
      <w:bookmarkEnd w:id="167"/>
    </w:p>
    <w:p>
      <w:pPr>
        <w:pStyle w:val="CadEENormalText"/>
        <w:numPr>
          <w:ilvl w:val="3"/>
          <w:numId w:val="1"/>
        </w:numPr>
      </w:pPr>
      <w:bookmarkStart w:id="168" w:name="CadEE_Target_168"/>
      <w:r>
        <w:t xml:space="preserve">Загальний тепловий потік через вузол Φ визначають як суму теплових потоків Φi,  отриманих для окремих граничних кінцевих елементів розрахункової моделі. Розрахунок див. Додаток А</w:t>
      </w:r>
      <w:bookmarkEnd w:id="168"/>
    </w:p>
    <w:p>
      <w:pPr>
        <w:pStyle w:val="CadEEEquationStyle"/>
      </w:pPr>
      <m:oMathPara>
        <m:oMath>
          <m:sSub>
            <m:e>
              <m:r>
                <m:t>Φ</m:t>
              </m:r>
            </m:e>
            <m:sub>
              <m:r>
                <m:rPr>
                  <m:sty m:val="i"/>
                </m:rPr>
                <m:t>l</m:t>
              </m:r>
            </m:sub>
          </m:sSub>
          <m:r>
            <m:t>=</m:t>
          </m:r>
          <m:r>
            <m:t>16.816</m:t>
          </m:r>
          <m:f>
            <m:num>
              <m:r>
                <m:t>Вт</m:t>
              </m:r>
            </m:num>
            <m:den>
              <m:r>
                <m:t>м</m:t>
              </m:r>
            </m:den>
          </m:f>
        </m:oMath>
      </m:oMathPara>
    </w:p>
    <w:p>
      <w:pPr>
        <w:pStyle w:val="CadEENormalText"/>
        <w:numPr>
          <w:ilvl w:val="3"/>
          <w:numId w:val="1"/>
        </w:numPr>
      </w:pPr>
      <w:bookmarkStart w:id="170" w:name="CadEE_Target_170"/>
      <w:r>
        <w:t xml:space="preserve">Визначимо різницю температур</w:t>
      </w:r>
      <w:bookmarkEnd w:id="170"/>
    </w:p>
    <w:p>
      <w:pPr>
        <w:pStyle w:val="CadEEEquationStyle"/>
      </w:pPr>
      <m:oMathPara>
        <m:oMath>
          <m:sSub>
            <m:e>
              <m:r>
                <m:t>θ</m:t>
              </m:r>
            </m:e>
            <m:sub>
              <m:r>
                <m:rPr>
                  <m:sty m:val="i"/>
                </m:rPr>
                <m:t>int</m:t>
              </m:r>
            </m:sub>
          </m:sSub>
          <m:r>
            <m:t>=</m:t>
          </m:r>
          <m:r>
            <m:t>20</m:t>
          </m:r>
          <m:r>
            <m:t>°С</m:t>
          </m:r>
          <m:r>
            <m:t xml:space="preserve"> </m:t>
          </m:r>
          <m:sSub>
            <m:e>
              <m:r>
                <m:t>θ</m:t>
              </m:r>
            </m:e>
            <m:sub>
              <m:r>
                <m:rPr>
                  <m:sty m:val="i"/>
                </m:rPr>
                <m:t>e</m:t>
              </m:r>
            </m:sub>
          </m:sSub>
          <m:r>
            <m:t>=</m:t>
          </m:r>
          <m:r>
            <m:t>−</m:t>
          </m:r>
          <m:r>
            <m:t>22</m:t>
          </m:r>
          <m:r>
            <m:t>°С</m:t>
          </m:r>
        </m:oMath>
      </m:oMathPara>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r>
                  <m:t>Δθ</m:t>
                </m:r>
                <m:r>
                  <m:t>=</m:t>
                </m:r>
                <m:sSub>
                  <m:e>
                    <m:r>
                      <m:t>θ</m:t>
                    </m:r>
                  </m:e>
                  <m:sub>
                    <m:r>
                      <m:rPr>
                        <m:sty m:val="i"/>
                      </m:rPr>
                      <m:t>int</m:t>
                    </m:r>
                  </m:sub>
                </m:sSub>
                <m:r>
                  <m:t>−</m:t>
                </m:r>
                <m:sSub>
                  <m:e>
                    <m:r>
                      <m:t>θ</m:t>
                    </m:r>
                  </m:e>
                  <m:sub>
                    <m:r>
                      <m:rPr>
                        <m:sty m:val="i"/>
                      </m:rPr>
                      <m:t>e</m:t>
                    </m:r>
                  </m:sub>
                </m:sSub>
                <m:r>
                  <m:t>=</m:t>
                </m:r>
                <m:r>
                  <m:t>20</m:t>
                </m:r>
                <m:r>
                  <m:t>−</m:t>
                </m:r>
                <m:r>
                  <m:t>−</m:t>
                </m:r>
                <m:r>
                  <m:t>22</m:t>
                </m:r>
                <m:r>
                  <m:t>=</m:t>
                </m:r>
                <m:r>
                  <m:t>42</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2" w:name="CadEE_Target_172"/>
            <w:r>
              <w:fldChar w:fldCharType="begin"/>
            </w:r>
            <w:r>
              <w:instrText xml:space="preserve"> SEQ CadEE_Formula \* ARABIC </w:instrText>
            </w:r>
            <w:r>
              <w:fldChar w:fldCharType="separate"/>
            </w:r>
            <w:r>
              <w:t xml:space="preserve">1.1</w:t>
            </w:r>
            <w:r>
              <w:fldChar w:fldCharType="end"/>
            </w:r>
            <w:bookmarkEnd w:id="172"/>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w:t>
      </w:r>
      <w:r>
        <w:t xml:space="preserve"> - те саме, що у формулі (</w:t>
      </w:r>
      <w:r>
        <w:fldChar w:fldCharType="begin"/>
      </w:r>
      <w:r>
        <w:instrText xml:space="preserve"> REF CadEE_Target_30 \h </w:instrText>
      </w:r>
      <w:r>
        <w:fldChar w:fldCharType="separate"/>
      </w:r>
      <w:r>
        <w:t xml:space="preserve">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3"/>
          <w:numId w:val="1"/>
        </w:numPr>
      </w:pPr>
      <w:bookmarkStart w:id="173" w:name="CadEE_Target_173"/>
      <w:r>
        <w:t xml:space="preserve">Визначимо коефіцієнт теплового зв’язку вузла  L2D згідно з формулою (15) ISO 10211:2017</w:t>
      </w:r>
      <w:bookmarkEnd w:id="17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L</m:t>
                    </m:r>
                  </m:e>
                  <m:sub>
                    <m:r>
                      <m:rPr>
                        <m:sty m:val="i"/>
                      </m:rPr>
                      <m:t>s2D</m:t>
                    </m:r>
                  </m:sub>
                </m:sSub>
                <m:r>
                  <m:t>=</m:t>
                </m:r>
                <m:f>
                  <m:num>
                    <m:sSub>
                      <m:e>
                        <m:r>
                          <m:t>Φ</m:t>
                        </m:r>
                      </m:e>
                      <m:sub>
                        <m:r>
                          <m:rPr>
                            <m:sty m:val="i"/>
                          </m:rPr>
                          <m:t>l</m:t>
                        </m:r>
                      </m:sub>
                    </m:sSub>
                  </m:num>
                  <m:den>
                    <m:r>
                      <m:t>Δθ</m:t>
                    </m:r>
                  </m:den>
                </m:f>
                <m:r>
                  <m:t>=</m:t>
                </m:r>
                <m:f>
                  <m:num>
                    <m:r>
                      <m:t>16.815881</m:t>
                    </m:r>
                  </m:num>
                  <m:den>
                    <m:r>
                      <m:t>42</m:t>
                    </m:r>
                  </m:den>
                </m:f>
                <m:r>
                  <m:t>=</m:t>
                </m:r>
                <m:r>
                  <m:t>0.4004</m:t>
                </m:r>
                <m:r>
                  <m:t xml:space="preserve"> </m:t>
                </m:r>
                <m:f>
                  <m:num>
                    <m:r>
                      <m:t>Вт</m:t>
                    </m:r>
                  </m:num>
                  <m:den>
                    <m:r>
                      <m:t>м</m:t>
                    </m:r>
                    <m:r>
                      <m:t>·</m:t>
                    </m:r>
                    <m:r>
                      <m:t>°С</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4" w:name="CadEE_Target_174"/>
            <w:r>
              <w:fldChar w:fldCharType="begin"/>
            </w:r>
            <w:r>
              <w:instrText xml:space="preserve"> SEQ CadEE_Formula \* ARABIC </w:instrText>
            </w:r>
            <w:r>
              <w:fldChar w:fldCharType="separate"/>
            </w:r>
            <w:r>
              <w:t xml:space="preserve">1.2</w:t>
            </w:r>
            <w:r>
              <w:fldChar w:fldCharType="end"/>
            </w:r>
            <w:bookmarkEnd w:id="174"/>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l</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Δθ</w:t>
      </w:r>
      <w:r>
        <w:t xml:space="preserve">, див. п. </w:t>
      </w:r>
      <w:r>
        <w:fldChar w:fldCharType="begin"/>
      </w:r>
      <w:r>
        <w:instrText xml:space="preserve"> REF CadEE_Target_170 \n \h </w:instrText>
      </w:r>
      <w:r>
        <w:fldChar w:fldCharType="separate"/>
      </w:r>
      <w:r>
        <w:t xml:space="preserve">1.1.3.4</w:t>
      </w:r>
      <w:r>
        <w:fldChar w:fldCharType="end"/>
      </w:r>
      <w:r>
        <w:t xml:space="preserve">.</w:t>
      </w:r>
    </w:p>
    <w:p>
      <w:pPr>
        <w:pStyle w:val="CadEENormalText"/>
        <w:numPr>
          <w:ilvl w:val="3"/>
          <w:numId w:val="1"/>
        </w:numPr>
      </w:pPr>
      <w:bookmarkStart w:id="175" w:name="CadEE_Target_175"/>
      <w:r>
        <w:t xml:space="preserve">Визначимо коефіцієнт теплопередачі конструкцій вузла.</w:t>
      </w:r>
      <w:bookmarkEnd w:id="175"/>
    </w:p>
    <w:p>
      <w:pPr>
        <w:pStyle w:val="CadEENormalText"/>
        <w:numPr>
          <w:ilvl w:val="3"/>
          <w:numId w:val="1"/>
        </w:numPr>
      </w:pPr>
      <w:bookmarkStart w:id="176" w:name="CadEE_Target_176"/>
      <w:r>
        <w:t xml:space="preserve">Складова 1 — «Стіна»:</w:t>
      </w:r>
      <w:bookmarkEnd w:id="176"/>
    </w:p>
    <w:p>
      <w:pPr>
        <w:pStyle w:val="CadEEEquationStyle"/>
      </w:pPr>
      <m:oMathPara>
        <m:oMath>
          <m:sSub>
            <m:e>
              <m:sSub>
                <m:e>
                  <m:r>
                    <m:rPr>
                      <m:sty m:val="i"/>
                    </m:rPr>
                    <m:t>h</m:t>
                  </m:r>
                </m:e>
                <m:sub>
                  <m:r>
                    <m:rPr>
                      <m:sty m:val="i"/>
                    </m:rPr>
                    <m:t>si</m:t>
                  </m:r>
                </m:sub>
              </m:sSub>
            </m:e>
            <m:sub>
              <m:r>
                <m:t>1</m:t>
              </m:r>
            </m:sub>
          </m:sSub>
          <m:r>
            <m:t>=</m:t>
          </m:r>
          <m:r>
            <m:t>8.7</m:t>
          </m:r>
          <m:f>
            <m:num>
              <m:r>
                <m:t>Вт</m:t>
              </m:r>
            </m:num>
            <m:den>
              <m:r>
                <m:t>м</m:t>
              </m:r>
              <m:r>
                <m:t>·</m:t>
              </m:r>
              <m:r>
                <m:t>°С</m:t>
              </m:r>
            </m:den>
          </m:f>
          <m:r>
            <m:t xml:space="preserve"> </m:t>
          </m:r>
          <m:sSub>
            <m:e>
              <m:sSub>
                <m:e>
                  <m:r>
                    <m:rPr>
                      <m:sty m:val="i"/>
                    </m:rPr>
                    <m:t>h</m:t>
                  </m:r>
                </m:e>
                <m:sub>
                  <m:r>
                    <m:rPr>
                      <m:sty m:val="i"/>
                    </m:rPr>
                    <m:t>se</m:t>
                  </m:r>
                </m:sub>
              </m:sSub>
            </m:e>
            <m:sub>
              <m:r>
                <m:t>1</m:t>
              </m:r>
            </m:sub>
          </m:sSub>
          <m:r>
            <m:t>=</m:t>
          </m:r>
          <m:r>
            <m:t>23</m:t>
          </m:r>
          <m:f>
            <m:num>
              <m:r>
                <m:t>Вт</m:t>
              </m:r>
            </m:num>
            <m:den>
              <m:r>
                <m:t>м</m:t>
              </m:r>
              <m:r>
                <m:t>·</m:t>
              </m:r>
              <m:r>
                <m:t>°С</m:t>
              </m:r>
            </m:den>
          </m:f>
        </m:oMath>
      </m:oMathPara>
    </w:p>
    <w:p>
      <w:pPr>
        <w:pStyle w:val="CadEENormalText"/>
        <w:numPr>
          <w:ilvl w:val="3"/>
          <w:numId w:val="1"/>
        </w:numPr>
      </w:pPr>
      <w:bookmarkStart w:id="178" w:name="CadEE_Target_178"/>
      <w:r>
        <w:t xml:space="preserve">Визначимо поверхневі опори теплопередачі:</w:t>
      </w:r>
      <w:bookmarkEnd w:id="17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R</m:t>
                        </m:r>
                      </m:e>
                      <m:sub>
                        <m:r>
                          <m:rPr>
                            <m:sty m:val="i"/>
                          </m:rPr>
                          <m:t>si</m:t>
                        </m:r>
                      </m:sub>
                    </m:sSub>
                  </m:e>
                  <m:sub>
                    <m:r>
                      <m:t>1</m:t>
                    </m:r>
                  </m:sub>
                </m:sSub>
                <m:r>
                  <m:t>=</m:t>
                </m:r>
                <m:f>
                  <m:num>
                    <m:r>
                      <m:t>1</m:t>
                    </m:r>
                  </m:num>
                  <m:den>
                    <m:sSub>
                      <m:e>
                        <m:sSub>
                          <m:e>
                            <m:r>
                              <m:rPr>
                                <m:sty m:val="i"/>
                              </m:rPr>
                              <m:t>h</m:t>
                            </m:r>
                          </m:e>
                          <m:sub>
                            <m:r>
                              <m:rPr>
                                <m:sty m:val="i"/>
                              </m:rPr>
                              <m:t>si</m:t>
                            </m:r>
                          </m:sub>
                        </m:sSub>
                      </m:e>
                      <m:sub>
                        <m:r>
                          <m:t>1</m:t>
                        </m:r>
                      </m:sub>
                    </m:sSub>
                  </m:den>
                </m:f>
                <m:r>
                  <m:t>=</m:t>
                </m:r>
                <m:f>
                  <m:num>
                    <m:r>
                      <m:t>1</m:t>
                    </m:r>
                  </m:num>
                  <m:den>
                    <m:r>
                      <m:t>8.7</m:t>
                    </m:r>
                  </m:den>
                </m:f>
                <m:r>
                  <m:t>=</m:t>
                </m:r>
                <m:r>
                  <m:t>0.1149</m:t>
                </m:r>
                <m:r>
                  <m:t xml:space="preserve"> </m:t>
                </m:r>
                <m:f>
                  <m:num>
                    <m:r>
                      <m:t>м</m:t>
                    </m:r>
                    <m:r>
                      <m:t>·</m:t>
                    </m:r>
                    <m:r>
                      <m:t>°С</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9" w:name="CadEE_Target_179"/>
            <w:r>
              <w:fldChar w:fldCharType="begin"/>
            </w:r>
            <w:r>
              <w:instrText xml:space="preserve"> SEQ CadEE_Formula \* ARABIC </w:instrText>
            </w:r>
            <w:r>
              <w:fldChar w:fldCharType="separate"/>
            </w:r>
            <w:r>
              <w:t xml:space="preserve">1.3</w:t>
            </w:r>
            <w:r>
              <w:fldChar w:fldCharType="end"/>
            </w:r>
            <w:bookmarkEnd w:id="179"/>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si 1</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R</m:t>
                        </m:r>
                      </m:e>
                      <m:sub>
                        <m:r>
                          <m:rPr>
                            <m:sty m:val="i"/>
                          </m:rPr>
                          <m:t>se</m:t>
                        </m:r>
                      </m:sub>
                    </m:sSub>
                  </m:e>
                  <m:sub>
                    <m:r>
                      <m:t>1</m:t>
                    </m:r>
                  </m:sub>
                </m:sSub>
                <m:r>
                  <m:t>=</m:t>
                </m:r>
                <m:f>
                  <m:num>
                    <m:r>
                      <m:t>1</m:t>
                    </m:r>
                  </m:num>
                  <m:den>
                    <m:sSub>
                      <m:e>
                        <m:sSub>
                          <m:e>
                            <m:r>
                              <m:rPr>
                                <m:sty m:val="i"/>
                              </m:rPr>
                              <m:t>h</m:t>
                            </m:r>
                          </m:e>
                          <m:sub>
                            <m:r>
                              <m:rPr>
                                <m:sty m:val="i"/>
                              </m:rPr>
                              <m:t>se</m:t>
                            </m:r>
                          </m:sub>
                        </m:sSub>
                      </m:e>
                      <m:sub>
                        <m:r>
                          <m:t>1</m:t>
                        </m:r>
                      </m:sub>
                    </m:sSub>
                  </m:den>
                </m:f>
                <m:r>
                  <m:t>=</m:t>
                </m:r>
                <m:f>
                  <m:num>
                    <m:r>
                      <m:t>1</m:t>
                    </m:r>
                  </m:num>
                  <m:den>
                    <m:r>
                      <m:t>23</m:t>
                    </m:r>
                  </m:den>
                </m:f>
                <m:r>
                  <m:t>=</m:t>
                </m:r>
                <m:r>
                  <m:t>0.04348</m:t>
                </m:r>
                <m:r>
                  <m:t xml:space="preserve"> </m:t>
                </m:r>
                <m:f>
                  <m:num>
                    <m:r>
                      <m:t>м</m:t>
                    </m:r>
                    <m:r>
                      <m:t>·</m:t>
                    </m:r>
                    <m:r>
                      <m:t>°С</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0" w:name="CadEE_Target_180"/>
            <w:r>
              <w:fldChar w:fldCharType="begin"/>
            </w:r>
            <w:r>
              <w:instrText xml:space="preserve"> SEQ CadEE_Formula \* ARABIC </w:instrText>
            </w:r>
            <w:r>
              <w:fldChar w:fldCharType="separate"/>
            </w:r>
            <w:r>
              <w:t xml:space="preserve">1.4</w:t>
            </w:r>
            <w:r>
              <w:fldChar w:fldCharType="end"/>
            </w:r>
            <w:bookmarkEnd w:id="180"/>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se 1</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3"/>
          <w:numId w:val="1"/>
        </w:numPr>
      </w:pPr>
      <w:bookmarkStart w:id="181" w:name="CadEE_Target_181"/>
      <w:r>
        <w:t xml:space="preserve">Товщина та коефіцієнт теплопровідності кожного шару:</w:t>
      </w:r>
      <w:bookmarkEnd w:id="181"/>
    </w:p>
    <w:p>
      <w:pPr>
        <w:pStyle w:val="CadEEEquationStyle"/>
      </w:pPr>
      <m:oMathPara>
        <m:oMath>
          <m:sSub>
            <m:e>
              <m:r>
                <m:t>δ</m:t>
              </m:r>
            </m:e>
            <m:sub>
              <m:r>
                <m:t>11</m:t>
              </m:r>
            </m:sub>
          </m:sSub>
          <m:r>
            <m:t>=</m:t>
          </m:r>
          <m:r>
            <m:t>0.05</m:t>
          </m:r>
          <m:r>
            <m:t>м</m:t>
          </m:r>
          <m:r>
            <m:t xml:space="preserve"> </m:t>
          </m:r>
          <m:sSub>
            <m:e>
              <m:r>
                <m:t>λ</m:t>
              </m:r>
            </m:e>
            <m:sub>
              <m:r>
                <m:t>11</m:t>
              </m:r>
            </m:sub>
          </m:sSub>
          <m:r>
            <m:t>=</m:t>
          </m:r>
          <m:r>
            <m:t>0.0549999997019768</m:t>
          </m:r>
          <m:f>
            <m:num>
              <m:r>
                <m:t>Вт</m:t>
              </m:r>
            </m:num>
            <m:den>
              <m:r>
                <m:t>м</m:t>
              </m:r>
              <m:r>
                <m:t>·</m:t>
              </m:r>
              <m:r>
                <m:t>°С</m:t>
              </m:r>
            </m:den>
          </m:f>
        </m:oMath>
      </m:oMathPara>
    </w:p>
    <w:p>
      <w:pPr>
        <w:pStyle w:val="CadEEEquationStyle"/>
      </w:pPr>
      <m:oMathPara>
        <m:oMath>
          <m:sSub>
            <m:e>
              <m:r>
                <m:t>δ</m:t>
              </m:r>
            </m:e>
            <m:sub>
              <m:r>
                <m:t>12</m:t>
              </m:r>
            </m:sub>
          </m:sSub>
          <m:r>
            <m:t>=</m:t>
          </m:r>
          <m:r>
            <m:t>0.05</m:t>
          </m:r>
          <m:r>
            <m:t>м</m:t>
          </m:r>
          <m:r>
            <m:t xml:space="preserve"> </m:t>
          </m:r>
          <m:sSub>
            <m:e>
              <m:r>
                <m:t>λ</m:t>
              </m:r>
            </m:e>
            <m:sub>
              <m:r>
                <m:t>12</m:t>
              </m:r>
            </m:sub>
          </m:sSub>
          <m:r>
            <m:t>=</m:t>
          </m:r>
          <m:r>
            <m:t>0.0549999997019768</m:t>
          </m:r>
          <m:f>
            <m:num>
              <m:r>
                <m:t>Вт</m:t>
              </m:r>
            </m:num>
            <m:den>
              <m:r>
                <m:t>м</m:t>
              </m:r>
              <m:r>
                <m:t>·</m:t>
              </m:r>
              <m:r>
                <m:t>°С</m:t>
              </m:r>
            </m:den>
          </m:f>
        </m:oMath>
      </m:oMathPara>
    </w:p>
    <w:p>
      <w:pPr>
        <w:pStyle w:val="CadEENormalText"/>
        <w:numPr>
          <w:ilvl w:val="3"/>
          <w:numId w:val="1"/>
        </w:numPr>
      </w:pPr>
      <w:bookmarkStart w:id="184" w:name="CadEE_Target_184"/>
      <w:r>
        <w:t xml:space="preserve">Визначимо загальний опір теплопередачі:</w:t>
      </w:r>
      <w:bookmarkEnd w:id="18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r>
                      <m:t>1</m:t>
                    </m:r>
                  </m:sub>
                </m:sSub>
                <m:r>
                  <m:t>=</m:t>
                </m:r>
                <m:sSub>
                  <m:e>
                    <m:sSub>
                      <m:e>
                        <m:r>
                          <m:rPr>
                            <m:sty m:val="i"/>
                          </m:rPr>
                          <m:t>R</m:t>
                        </m:r>
                      </m:e>
                      <m:sub>
                        <m:r>
                          <m:rPr>
                            <m:sty m:val="i"/>
                          </m:rPr>
                          <m:t>si</m:t>
                        </m:r>
                      </m:sub>
                    </m:sSub>
                  </m:e>
                  <m:sub>
                    <m:r>
                      <m:t>1</m:t>
                    </m:r>
                  </m:sub>
                </m:sSub>
                <m:r>
                  <m:t>+</m:t>
                </m:r>
                <m:f>
                  <m:num>
                    <m:sSub>
                      <m:e>
                        <m:r>
                          <m:t>δ</m:t>
                        </m:r>
                      </m:e>
                      <m:sub>
                        <m:r>
                          <m:t>11</m:t>
                        </m:r>
                      </m:sub>
                    </m:sSub>
                  </m:num>
                  <m:den>
                    <m:sSub>
                      <m:e>
                        <m:r>
                          <m:t>λ</m:t>
                        </m:r>
                      </m:e>
                      <m:sub>
                        <m:r>
                          <m:t>11</m:t>
                        </m:r>
                      </m:sub>
                    </m:sSub>
                  </m:den>
                </m:f>
                <m:r>
                  <m:t>+</m:t>
                </m:r>
                <m:f>
                  <m:num>
                    <m:sSub>
                      <m:e>
                        <m:r>
                          <m:t>δ</m:t>
                        </m:r>
                      </m:e>
                      <m:sub>
                        <m:r>
                          <m:t>12</m:t>
                        </m:r>
                      </m:sub>
                    </m:sSub>
                  </m:num>
                  <m:den>
                    <m:sSub>
                      <m:e>
                        <m:r>
                          <m:t>λ</m:t>
                        </m:r>
                      </m:e>
                      <m:sub>
                        <m:r>
                          <m:t>12</m:t>
                        </m:r>
                      </m:sub>
                    </m:sSub>
                  </m:den>
                </m:f>
                <m:r>
                  <m:t>+</m:t>
                </m:r>
                <m:sSub>
                  <m:e>
                    <m:sSub>
                      <m:e>
                        <m:r>
                          <m:rPr>
                            <m:sty m:val="i"/>
                          </m:rPr>
                          <m:t>R</m:t>
                        </m:r>
                      </m:e>
                      <m:sub>
                        <m:r>
                          <m:rPr>
                            <m:sty m:val="i"/>
                          </m:rPr>
                          <m:t>se</m:t>
                        </m:r>
                      </m:sub>
                    </m:sSub>
                  </m:e>
                  <m:sub>
                    <m:r>
                      <m:t>1</m:t>
                    </m:r>
                  </m:sub>
                </m:sSub>
                <m:r>
                  <m:t>=</m:t>
                </m:r>
                <m:r>
                  <m:t>0.1149</m:t>
                </m:r>
                <m:r>
                  <m:t>+</m:t>
                </m:r>
                <m:f>
                  <m:num>
                    <m:r>
                      <m:t>0.05</m:t>
                    </m:r>
                  </m:num>
                  <m:den>
                    <m:r>
                      <m:t>0.055</m:t>
                    </m:r>
                  </m:den>
                </m:f>
                <m:r>
                  <m:t>+</m:t>
                </m:r>
                <m:f>
                  <m:num>
                    <m:r>
                      <m:t>0.05</m:t>
                    </m:r>
                  </m:num>
                  <m:den>
                    <m:r>
                      <m:t>0.055</m:t>
                    </m:r>
                  </m:den>
                </m:f>
                <m:r>
                  <m:t>+</m:t>
                </m:r>
                <m:r>
                  <m:t>0.04348</m:t>
                </m:r>
                <m:r>
                  <m:t>=</m:t>
                </m:r>
                <m:r>
                  <m:t>1.977</m:t>
                </m:r>
                <m:r>
                  <m:t xml:space="preserve"> </m:t>
                </m:r>
                <m:f>
                  <m:num>
                    <m:r>
                      <m:t>м</m:t>
                    </m:r>
                    <m:r>
                      <m:t>·</m:t>
                    </m:r>
                    <m:r>
                      <m:t>°С</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5" w:name="CadEE_Target_185"/>
            <w:r>
              <w:fldChar w:fldCharType="begin"/>
            </w:r>
            <w:r>
              <w:instrText xml:space="preserve"> SEQ CadEE_Formula \* ARABIC </w:instrText>
            </w:r>
            <w:r>
              <w:fldChar w:fldCharType="separate"/>
            </w:r>
            <w:r>
              <w:t xml:space="preserve">1.5</w:t>
            </w:r>
            <w:r>
              <w:fldChar w:fldCharType="end"/>
            </w:r>
            <w:bookmarkEnd w:id="185"/>
            <w:r>
              <w:t>)</w:t>
            </w:r>
          </w:p>
        </w:tc>
      </w:tr>
    </w:tbl>
    <w:p>
      <w:pPr>
        <w:pStyle w:val="CadEENormalText"/>
      </w:pPr>
      <w:r>
        <w:t xml:space="preserve">де </w:t>
      </w:r>
      <w:r>
        <w:rPr>
          <w:rFonts w:ascii="Cambria Math" w:hAnsi="Cambria Math" w:eastAsia="Cambria Math" w:cs="Cambria Math"/>
        </w:rPr>
        <w:t xml:space="preserve">R</w:t>
      </w:r>
      <w:r>
        <w:rPr>
          <w:rFonts w:ascii="Cambria Math" w:hAnsi="Cambria Math" w:eastAsia="Cambria Math" w:cs="Cambria Math"/>
          <w:vertAlign w:val="subscript"/>
        </w:rPr>
        <w:t xml:space="preserve">si 1</w:t>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se 1</w:t>
      </w:r>
      <w:r>
        <w:t xml:space="preserve">, див. п. </w:t>
      </w:r>
      <w:r>
        <w:fldChar w:fldCharType="begin"/>
      </w:r>
      <w:r>
        <w:instrText xml:space="preserve"> REF CadEE_Target_178 \n \h </w:instrText>
      </w:r>
      <w:r>
        <w:fldChar w:fldCharType="separate"/>
      </w:r>
      <w:r>
        <w:t xml:space="preserve">1.1.3.8</w:t>
      </w:r>
      <w:r>
        <w:fldChar w:fldCharType="end"/>
      </w:r>
      <w:r>
        <w:t xml:space="preserve">; </w:t>
      </w:r>
      <w:r>
        <w:rPr>
          <w:rFonts w:ascii="Cambria Math" w:hAnsi="Cambria Math" w:eastAsia="Cambria Math" w:cs="Cambria Math"/>
        </w:rPr>
        <w:t xml:space="preserve">δ</w:t>
      </w:r>
      <w:r>
        <w:rPr>
          <w:rFonts w:ascii="Cambria Math" w:hAnsi="Cambria Math" w:eastAsia="Cambria Math" w:cs="Cambria Math"/>
          <w:vertAlign w:val="subscript"/>
        </w:rPr>
        <w:t xml:space="preserve">11</w:t>
      </w:r>
      <w:r>
        <w:t xml:space="preserve">, </w:t>
      </w:r>
      <w:r>
        <w:rPr>
          <w:rFonts w:ascii="Cambria Math" w:hAnsi="Cambria Math" w:eastAsia="Cambria Math" w:cs="Cambria Math"/>
        </w:rPr>
        <w:t xml:space="preserve">δ</w:t>
      </w:r>
      <w:r>
        <w:rPr>
          <w:rFonts w:ascii="Cambria Math" w:hAnsi="Cambria Math" w:eastAsia="Cambria Math" w:cs="Cambria Math"/>
          <w:vertAlign w:val="subscript"/>
        </w:rPr>
        <w:t xml:space="preserve">12</w:t>
      </w:r>
      <w:r>
        <w:t xml:space="preserve"> - товщина шару огороджувальної конструкції, див. п. </w:t>
      </w:r>
      <w:r>
        <w:fldChar w:fldCharType="begin"/>
      </w:r>
      <w:r>
        <w:instrText xml:space="preserve"> REF CadEE_Target_1 \n \h </w:instrText>
      </w:r>
      <w:r>
        <w:fldChar w:fldCharType="separate"/>
      </w:r>
      <w:r>
        <w:t xml:space="preserve">1</w:t>
      </w:r>
      <w:r>
        <w:fldChar w:fldCharType="end"/>
      </w:r>
      <w:r>
        <w:t xml:space="preserve">,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λ</w:t>
      </w:r>
      <w:r>
        <w:rPr>
          <w:rFonts w:ascii="Cambria Math" w:hAnsi="Cambria Math" w:eastAsia="Cambria Math" w:cs="Cambria Math"/>
          <w:vertAlign w:val="subscript"/>
        </w:rPr>
        <w:t xml:space="preserve">11</w:t>
      </w:r>
      <w:r>
        <w:t xml:space="preserve">..</w:t>
      </w:r>
      <w:r>
        <w:rPr>
          <w:rFonts w:ascii="Cambria Math" w:hAnsi="Cambria Math" w:eastAsia="Cambria Math" w:cs="Cambria Math"/>
        </w:rPr>
        <w:t xml:space="preserve">λ</w:t>
      </w:r>
      <w:r>
        <w:rPr>
          <w:rFonts w:ascii="Cambria Math" w:hAnsi="Cambria Math" w:eastAsia="Cambria Math" w:cs="Cambria Math"/>
          <w:vertAlign w:val="subscript"/>
        </w:rPr>
        <w:t xml:space="preserve">12</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3"/>
          <w:numId w:val="1"/>
        </w:numPr>
      </w:pPr>
      <w:bookmarkStart w:id="186" w:name="CadEE_Target_186"/>
      <w:r>
        <w:t xml:space="preserve">Коефіцієнт теплопередачі конструкції Стіна.</w:t>
      </w:r>
      <w:bookmarkEnd w:id="18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U</m:t>
                    </m:r>
                  </m:e>
                  <m:sub>
                    <m:r>
                      <m:t>1</m:t>
                    </m:r>
                  </m:sub>
                </m:sSub>
                <m:r>
                  <m:t>=</m:t>
                </m:r>
                <m:f>
                  <m:num>
                    <m:r>
                      <m:t>1</m:t>
                    </m:r>
                  </m:num>
                  <m:den>
                    <m:sSub>
                      <m:e>
                        <m:r>
                          <m:rPr>
                            <m:sty m:val="i"/>
                          </m:rPr>
                          <m:t>R</m:t>
                        </m:r>
                      </m:e>
                      <m:sub>
                        <m:r>
                          <m:t>1</m:t>
                        </m:r>
                      </m:sub>
                    </m:sSub>
                  </m:den>
                </m:f>
                <m:r>
                  <m:t>=</m:t>
                </m:r>
                <m:f>
                  <m:num>
                    <m:r>
                      <m:t>1</m:t>
                    </m:r>
                  </m:num>
                  <m:den>
                    <m:r>
                      <m:t>1.977</m:t>
                    </m:r>
                  </m:den>
                </m:f>
                <m:r>
                  <m:t>=</m:t>
                </m:r>
                <m:r>
                  <m:t>0.506</m:t>
                </m:r>
                <m:r>
                  <m:t xml:space="preserve"> </m:t>
                </m:r>
                <m:f>
                  <m:num>
                    <m:r>
                      <m:t>Вт</m:t>
                    </m:r>
                  </m:num>
                  <m:den>
                    <m:r>
                      <m:t>м</m:t>
                    </m:r>
                    <m:r>
                      <m:t>·</m:t>
                    </m:r>
                    <m:r>
                      <m:t>°С</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7" w:name="CadEE_Target_187"/>
            <w:r>
              <w:fldChar w:fldCharType="begin"/>
            </w:r>
            <w:r>
              <w:instrText xml:space="preserve"> SEQ CadEE_Formula \* ARABIC </w:instrText>
            </w:r>
            <w:r>
              <w:fldChar w:fldCharType="separate"/>
            </w:r>
            <w:r>
              <w:t xml:space="preserve">1.6</w:t>
            </w:r>
            <w:r>
              <w:fldChar w:fldCharType="end"/>
            </w:r>
            <w:bookmarkEnd w:id="187"/>
            <w:r>
              <w:t>)</w:t>
            </w:r>
          </w:p>
        </w:tc>
      </w:tr>
    </w:tbl>
    <w:p>
      <w:pPr>
        <w:pStyle w:val="CadEENormalText"/>
      </w:pPr>
      <w:r>
        <w:t xml:space="preserve">де </w:t>
      </w:r>
      <w:r>
        <w:rPr>
          <w:rFonts w:ascii="Cambria Math" w:hAnsi="Cambria Math" w:eastAsia="Cambria Math" w:cs="Cambria Math"/>
        </w:rPr>
        <w:t xml:space="preserve">R</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CadEE_Target_31 \h </w:instrText>
      </w:r>
      <w:r>
        <w:fldChar w:fldCharType="separate"/>
      </w:r>
      <w:r>
        <w:t xml:space="preserve">10</w:t>
      </w:r>
      <w:r>
        <w:fldChar w:fldCharType="end"/>
      </w:r>
      <w:r>
        <w:t xml:space="preserve">).</w:t>
      </w:r>
    </w:p>
    <w:p>
      <w:pPr>
        <w:pStyle w:val="CadEENormalText"/>
        <w:numPr>
          <w:ilvl w:val="3"/>
          <w:numId w:val="1"/>
        </w:numPr>
      </w:pPr>
      <w:bookmarkStart w:id="188" w:name="CadEE_Target_188"/>
      <w:r>
        <w:t xml:space="preserve">Довжину 1D елементу конструкції Стіна визначаємо по внутрішній грані. Див. Додаток А</w:t>
      </w:r>
      <w:bookmarkEnd w:id="188"/>
    </w:p>
    <w:p>
      <w:pPr>
        <w:pStyle w:val="CadEEEquationStyle"/>
      </w:pPr>
      <m:oMathPara>
        <m:oMath>
          <m:sSub>
            <m:e>
              <m:r>
                <m:rPr>
                  <m:sty m:val="i"/>
                </m:rPr>
                <m:t>L</m:t>
              </m:r>
            </m:e>
            <m:sub>
              <m:r>
                <m:t>1</m:t>
              </m:r>
            </m:sub>
          </m:sSub>
          <m:r>
            <m:t>=</m:t>
          </m:r>
          <m:r>
            <m:t>0.8</m:t>
          </m:r>
          <m:r>
            <m:t>м</m:t>
          </m:r>
        </m:oMath>
      </m:oMathPara>
    </w:p>
    <w:p>
      <w:pPr>
        <w:pStyle w:val="CadEENormalText"/>
        <w:numPr>
          <w:ilvl w:val="3"/>
          <w:numId w:val="1"/>
        </w:numPr>
      </w:pPr>
      <w:bookmarkStart w:id="190" w:name="CadEE_Target_190"/>
      <w:r>
        <w:t xml:space="preserve">Як конструкції, що розділяють внутрішнє і зовнішнє середовище, у подальшому розрахунку розглядаємо: Стіна.</w:t>
      </w:r>
      <w:bookmarkEnd w:id="190"/>
    </w:p>
    <w:p>
      <w:pPr>
        <w:pStyle w:val="CadEENormalText"/>
        <w:numPr>
          <w:ilvl w:val="3"/>
          <w:numId w:val="1"/>
        </w:numPr>
      </w:pPr>
      <w:bookmarkStart w:id="191" w:name="CadEE_Target_191"/>
      <w:r>
        <w:t xml:space="preserve">Визначаємо лінійний коефіцієнт теплопередачі Ψ згідно з формулою (18) ISO 10211:2017</w:t>
      </w:r>
      <w:bookmarkEnd w:id="19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r>
                  <m:t>Ψ</m:t>
                </m:r>
                <m:r>
                  <m:t>=</m:t>
                </m:r>
                <m:sSub>
                  <m:e>
                    <m:r>
                      <m:rPr>
                        <m:sty m:val="i"/>
                      </m:rPr>
                      <m:t>L</m:t>
                    </m:r>
                  </m:e>
                  <m:sub>
                    <m:r>
                      <m:rPr>
                        <m:sty m:val="i"/>
                      </m:rPr>
                      <m:t>s2D</m:t>
                    </m:r>
                  </m:sub>
                </m:sSub>
                <m:r>
                  <m:t>−</m:t>
                </m:r>
                <m:sSub>
                  <m:e>
                    <m:r>
                      <m:rPr>
                        <m:sty m:val="i"/>
                      </m:rPr>
                      <m:t>U</m:t>
                    </m:r>
                  </m:e>
                  <m:sub>
                    <m:r>
                      <m:t>1</m:t>
                    </m:r>
                  </m:sub>
                </m:sSub>
                <m:sSub>
                  <m:e>
                    <m:r>
                      <m:rPr>
                        <m:sty m:val="i"/>
                      </m:rPr>
                      <m:t>L</m:t>
                    </m:r>
                  </m:e>
                  <m:sub>
                    <m:r>
                      <m:t>1</m:t>
                    </m:r>
                  </m:sub>
                </m:sSub>
                <m:r>
                  <m:t>=</m:t>
                </m:r>
                <m:r>
                  <m:t>0.4004</m:t>
                </m:r>
                <m:r>
                  <m:t>−</m:t>
                </m:r>
                <m:r>
                  <m:t>0.506</m:t>
                </m:r>
                <m:r>
                  <m:t>·</m:t>
                </m:r>
                <m:r>
                  <m:t>0.8</m:t>
                </m:r>
                <m:r>
                  <m:t>=</m:t>
                </m:r>
                <m:r>
                  <m:t>−</m:t>
                </m:r>
                <m:r>
                  <m:t>0.004357</m:t>
                </m:r>
                <m:r>
                  <m:t xml:space="preserve"> </m:t>
                </m:r>
                <m:f>
                  <m:num>
                    <m:r>
                      <m:t>Вт</m:t>
                    </m:r>
                  </m:num>
                  <m:den>
                    <m:r>
                      <m:t>м</m:t>
                    </m:r>
                    <m:r>
                      <m:t>·</m:t>
                    </m:r>
                    <m:r>
                      <m:t>°С</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2" w:name="CadEE_Target_192"/>
            <w:r>
              <w:fldChar w:fldCharType="begin"/>
            </w:r>
            <w:r>
              <w:instrText xml:space="preserve"> SEQ CadEE_Formula \* ARABIC </w:instrText>
            </w:r>
            <w:r>
              <w:fldChar w:fldCharType="separate"/>
            </w:r>
            <w:r>
              <w:t xml:space="preserve">1.7</w:t>
            </w:r>
            <w:r>
              <w:fldChar w:fldCharType="end"/>
            </w:r>
            <w:bookmarkEnd w:id="192"/>
            <w:r>
              <w:t>)</w:t>
            </w:r>
          </w:p>
        </w:tc>
      </w:tr>
    </w:tbl>
    <w:p>
      <w:pPr>
        <w:pStyle w:val="CadEENormalText"/>
      </w:pPr>
      <w:r>
        <w:t xml:space="preserve">де </w:t>
      </w:r>
      <w:r>
        <w:rPr>
          <w:rFonts w:ascii="Cambria Math" w:hAnsi="Cambria Math" w:eastAsia="Cambria Math" w:cs="Cambria Math"/>
        </w:rPr>
        <w:t xml:space="preserve">L</w:t>
      </w:r>
      <w:r>
        <w:rPr>
          <w:rFonts w:ascii="Cambria Math" w:hAnsi="Cambria Math" w:eastAsia="Cambria Math" w:cs="Cambria Math"/>
          <w:vertAlign w:val="subscript"/>
        </w:rPr>
        <w:t xml:space="preserve">s2D</w:t>
      </w:r>
      <w:r>
        <w:t xml:space="preserve">, див. п. </w:t>
      </w:r>
      <w:r>
        <w:fldChar w:fldCharType="begin"/>
      </w:r>
      <w:r>
        <w:instrText xml:space="preserve"> REF CadEE_Target_173 \n \h </w:instrText>
      </w:r>
      <w:r>
        <w:fldChar w:fldCharType="separate"/>
      </w:r>
      <w:r>
        <w:t xml:space="preserve">1.1.3.5</w:t>
      </w:r>
      <w:r>
        <w:fldChar w:fldCharType="end"/>
      </w:r>
      <w:r>
        <w:t xml:space="preserve">; </w:t>
      </w:r>
      <w:r>
        <w:rPr>
          <w:rFonts w:ascii="Cambria Math" w:hAnsi="Cambria Math" w:eastAsia="Cambria Math" w:cs="Cambria Math"/>
        </w:rPr>
        <w:t xml:space="preserve">U</w:t>
      </w:r>
      <w:r>
        <w:rPr>
          <w:rFonts w:ascii="Cambria Math" w:hAnsi="Cambria Math" w:eastAsia="Cambria Math" w:cs="Cambria Math"/>
          <w:vertAlign w:val="subscript"/>
        </w:rPr>
        <w:t xml:space="preserve">1</w:t>
      </w:r>
      <w:r>
        <w:t xml:space="preserve">, див. п. </w:t>
      </w:r>
      <w:r>
        <w:fldChar w:fldCharType="begin"/>
      </w:r>
      <w:r>
        <w:instrText xml:space="preserve"> REF CadEE_Target_186 \n \h </w:instrText>
      </w:r>
      <w:r>
        <w:fldChar w:fldCharType="separate"/>
      </w:r>
      <w:r>
        <w:t xml:space="preserve">1.1.3.11</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1</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HeadingLevel3"/>
        <w:numPr>
          <w:ilvl w:val="2"/>
          <w:numId w:val="1"/>
        </w:numPr>
      </w:pPr>
      <w:bookmarkStart w:id="193" w:name="CadEE_Target_193"/>
      <w:r>
        <w:t xml:space="preserve">Загальний результат</w:t>
      </w:r>
      <w:bookmarkEnd w:id="193"/>
    </w:p>
    <w:p>
      <w:pPr>
        <w:pStyle w:val="CadEENormalText"/>
      </w:pPr>
      <w:r>
        <w:t xml:space="preserve">Розрахунок виконано для задачі «Стіна з термовключеннями».</w:t>
      </w:r>
    </w:p>
    <w:p>
      <w:pPr>
        <w:pStyle w:val="CadEENormalText"/>
      </w:pPr>
      <w:r>
        <w:t xml:space="preserve">Лінійний коефіцієнт теплопередачі Ψ = -0.004357 Вт/(м·К).</w:t>
      </w:r>
    </w:p>
    <w:p>
      <w:pPr>
        <w:pStyle w:val="CadEEHeadingLevel3"/>
        <w:numPr>
          <w:ilvl w:val="2"/>
          <w:numId w:val="1"/>
        </w:numPr>
      </w:pPr>
      <w:bookmarkStart w:id="194" w:name="CadEE_Target_194"/>
      <w:r>
        <w:t xml:space="preserve">Графічні результати та таблиці FEM-моделі</w:t>
      </w:r>
      <w:bookmarkEnd w:id="194"/>
    </w:p>
    <w:p>
      <w:pPr>
        <w:jc w:val="center"/>
      </w:pPr>
      <w:r>
        <w:rPr/>
        <w:drawing>
          <wp:inline distT="0" distB="0" distL="0" distR="0">
            <wp:extent cx="5251649" cy="7200000"/>
            <wp:docPr id="4" name="Image4"/>
            <a:graphic xmlns:a="http://schemas.openxmlformats.org/drawingml/2006/main">
              <a:graphicData uri="http://schemas.openxmlformats.org/drawingml/2006/picture">
                <pic:pic xmlns:pic="http://schemas.openxmlformats.org/drawingml/2006/picture">
                  <pic:nvPicPr>
                    <pic:cNvPr id="4" name="Image4"/>
                    <pic:cNvPicPr/>
                  </pic:nvPicPr>
                  <pic:blipFill>
                    <a:blip xmlns:r="http://schemas.openxmlformats.org/officeDocument/2006/relationships" r:embed="rId7"/>
                    <a:stretch>
                      <a:fillRect/>
                    </a:stretch>
                  </pic:blipFill>
                  <pic:spPr>
                    <a:xfrm>
                      <a:off x="0" y="0"/>
                      <a:ext cx="5251649" cy="7200000"/>
                    </a:xfrm>
                    <a:prstGeom prst="rect">
                      <a:avLst/>
                    </a:prstGeom>
                  </pic:spPr>
                </pic:pic>
              </a:graphicData>
            </a:graphic>
          </wp:inline>
        </w:drawing>
      </w:r>
    </w:p>
    <w:p>
      <w:pPr>
        <w:pStyle w:val="CadEEFigureCaption"/>
      </w:pPr>
      <w:r>
        <w:t xml:space="preserve">Рисунок </w:t>
      </w:r>
      <w:bookmarkStart w:id="195" w:name="CadEE_Target_195"/>
      <w:r>
        <w:fldChar w:fldCharType="begin"/>
      </w:r>
      <w:r>
        <w:instrText xml:space="preserve"> SEQ CadEE_Figure \* ARABIC </w:instrText>
      </w:r>
      <w:r>
        <w:fldChar w:fldCharType="separate"/>
      </w:r>
      <w:r>
        <w:t xml:space="preserve">1.1.1</w:t>
      </w:r>
      <w:r>
        <w:fldChar w:fldCharType="end"/>
      </w:r>
      <w:bookmarkEnd w:id="195"/>
      <w:r>
        <w:t xml:space="preserve">. Температурне поле FEM-моделі</w:t>
      </w:r>
    </w:p>
    <w:p>
      <w:pPr>
        <w:pStyle w:val="CadEENormalText"/>
      </w:pPr>
      <w:r>
        <w:t xml:space="preserve">На рисунку показано розподіл температур у перерізі конструкції: теплі кольори відповідають вищим температурам, холодні — нижчим; лінії позначають ізотерми, стрілки — напрямки теплового потоку. Мінімальна температура — -21.100 °C, максимальна — 17.754 °C. Сітка містить 14 скінченних елементів. Лінійний тепловий потік Φ = 16.816 Вт/м; лінійний коефіцієнт теплопередачі Ψ = -0.004357 Вт/(м·К).</w:t>
      </w:r>
    </w:p>
    <w:p>
      <w:pPr>
        <w:pStyle w:val="CadEETableCaption"/>
      </w:pPr>
      <w:r>
        <w:t xml:space="preserve">Таблиця №</w:t>
      </w:r>
      <w:bookmarkStart w:id="196" w:name="CadEE_Target_196"/>
      <w:r>
        <w:fldChar w:fldCharType="begin"/>
      </w:r>
      <w:r>
        <w:instrText xml:space="preserve"> SEQ CadEE_Table \* ARABIC </w:instrText>
      </w:r>
      <w:r>
        <w:fldChar w:fldCharType="separate"/>
      </w:r>
      <w:r>
        <w:t xml:space="preserve">1.1.3</w:t>
      </w:r>
      <w:r>
        <w:fldChar w:fldCharType="end"/>
      </w:r>
      <w:bookmarkEnd w:id="196"/>
      <w:r>
        <w:t xml:space="preserve">. Вузли FEM-моделі</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1240"/>
        <w:gridCol w:w="1653"/>
        <w:gridCol w:w="1653"/>
        <w:gridCol w:w="1653"/>
        <w:gridCol w:w="1653"/>
        <w:gridCol w:w="2480"/>
      </w:tblGrid>
      <w:tr>
        <w:trPr>
          <w:tblHeader/>
        </w:trPr>
        <w:tc>
          <w:tcPr>
            <w:tcW w:w="1240" w:type="dxa"/>
            <w:vAlign w:val="center"/>
            <w:tcMar>
              <w:top w:w="60" w:type="dxa"/>
              <w:left w:w="70" w:type="dxa"/>
              <w:bottom w:w="60" w:type="dxa"/>
              <w:right w:w="70" w:type="dxa"/>
            </w:tcMar>
            <w:shd w:val="clear" w:color="auto" w:fill="EDEDED"/>
          </w:tcPr>
          <w:p>
            <w:pPr>
              <w:pStyle w:val="CadEETableHeadStyle"/>
            </w:pPr>
            <w:r>
              <w:rPr>
                <w:b/>
              </w:rPr>
              <w:t>Вузол</w:t>
            </w:r>
          </w:p>
        </w:tc>
        <w:tc>
          <w:tcPr>
            <w:tcW w:w="1653" w:type="dxa"/>
            <w:vAlign w:val="center"/>
            <w:tcMar>
              <w:top w:w="60" w:type="dxa"/>
              <w:left w:w="70" w:type="dxa"/>
              <w:bottom w:w="60" w:type="dxa"/>
              <w:right w:w="70" w:type="dxa"/>
            </w:tcMar>
            <w:shd w:val="clear" w:color="auto" w:fill="EDEDED"/>
          </w:tcPr>
          <w:p>
            <w:pPr>
              <w:pStyle w:val="CadEETableHeadStyle"/>
            </w:pPr>
            <w:r>
              <w:rPr>
                <w:b/>
              </w:rPr>
              <w:t>X, м</w:t>
            </w:r>
          </w:p>
        </w:tc>
        <w:tc>
          <w:tcPr>
            <w:tcW w:w="1653" w:type="dxa"/>
            <w:vAlign w:val="center"/>
            <w:tcMar>
              <w:top w:w="60" w:type="dxa"/>
              <w:left w:w="70" w:type="dxa"/>
              <w:bottom w:w="60" w:type="dxa"/>
              <w:right w:w="70" w:type="dxa"/>
            </w:tcMar>
            <w:shd w:val="clear" w:color="auto" w:fill="EDEDED"/>
          </w:tcPr>
          <w:p>
            <w:pPr>
              <w:pStyle w:val="CadEETableHeadStyle"/>
            </w:pPr>
            <w:r>
              <w:rPr>
                <w:b/>
              </w:rPr>
              <w:t>Y, м</w:t>
            </w:r>
          </w:p>
        </w:tc>
        <w:tc>
          <w:tcPr>
            <w:tcW w:w="1653" w:type="dxa"/>
            <w:vAlign w:val="center"/>
            <w:tcMar>
              <w:top w:w="60" w:type="dxa"/>
              <w:left w:w="70" w:type="dxa"/>
              <w:bottom w:w="60" w:type="dxa"/>
              <w:right w:w="70" w:type="dxa"/>
            </w:tcMar>
            <w:shd w:val="clear" w:color="auto" w:fill="EDEDED"/>
          </w:tcPr>
          <w:p>
            <w:pPr>
              <w:pStyle w:val="CadEETableHeadStyle"/>
            </w:pPr>
            <w:r>
              <w:rPr>
                <w:b/>
              </w:rPr>
              <w:t>I</w:t>
            </w:r>
          </w:p>
        </w:tc>
        <w:tc>
          <w:tcPr>
            <w:tcW w:w="1653" w:type="dxa"/>
            <w:vAlign w:val="center"/>
            <w:tcMar>
              <w:top w:w="60" w:type="dxa"/>
              <w:left w:w="70" w:type="dxa"/>
              <w:bottom w:w="60" w:type="dxa"/>
              <w:right w:w="70" w:type="dxa"/>
            </w:tcMar>
            <w:shd w:val="clear" w:color="auto" w:fill="EDEDED"/>
          </w:tcPr>
          <w:p>
            <w:pPr>
              <w:pStyle w:val="CadEETableHeadStyle"/>
            </w:pPr>
            <w:r>
              <w:rPr>
                <w:b/>
              </w:rPr>
              <w:t>J</w:t>
            </w:r>
          </w:p>
        </w:tc>
        <w:tc>
          <w:tcPr>
            <w:tcW w:w="2480" w:type="dxa"/>
            <w:vAlign w:val="center"/>
            <w:tcMar>
              <w:top w:w="60" w:type="dxa"/>
              <w:left w:w="70" w:type="dxa"/>
              <w:bottom w:w="60" w:type="dxa"/>
              <w:right w:w="70" w:type="dxa"/>
            </w:tcMar>
            <w:shd w:val="clear" w:color="auto" w:fill="EDEDED"/>
          </w:tcPr>
          <w:p>
            <w:pPr>
              <w:pStyle w:val="CadEETableHeadStyle"/>
            </w:pPr>
            <w:r>
              <w:rPr>
                <w:b/>
              </w:rPr>
              <w:t>T, °C</w:t>
            </w:r>
          </w:p>
        </w:tc>
      </w:tr>
      <w:tr>
        <w:tc>
          <w:tcPr>
            <w:tcW w:w="1240" w:type="dxa"/>
            <w:vAlign w:val="center"/>
            <w:tcMar>
              <w:top w:w="60" w:type="dxa"/>
              <w:left w:w="70" w:type="dxa"/>
              <w:bottom w:w="60" w:type="dxa"/>
              <w:right w:w="70" w:type="dxa"/>
            </w:tcMar>
          </w:tcPr>
          <w:p>
            <w:pPr>
              <w:pStyle w:val="CadEETableStyle"/>
            </w:pPr>
            <w:r>
              <w:t>0</w:t>
            </w:r>
          </w:p>
        </w:tc>
        <w:tc>
          <w:tcPr>
            <w:tcW w:w="1653" w:type="dxa"/>
            <w:vAlign w:val="center"/>
            <w:tcMar>
              <w:top w:w="60" w:type="dxa"/>
              <w:left w:w="70" w:type="dxa"/>
              <w:bottom w:w="60" w:type="dxa"/>
              <w:right w:w="70" w:type="dxa"/>
            </w:tcMar>
          </w:tcPr>
          <w:p>
            <w:pPr>
              <w:pStyle w:val="CadEETableStyle"/>
            </w:pPr>
            <w:r>
              <w:t>0.000000</w:t>
            </w:r>
          </w:p>
        </w:tc>
        <w:tc>
          <w:tcPr>
            <w:tcW w:w="1653" w:type="dxa"/>
            <w:vAlign w:val="center"/>
            <w:tcMar>
              <w:top w:w="60" w:type="dxa"/>
              <w:left w:w="70" w:type="dxa"/>
              <w:bottom w:w="60" w:type="dxa"/>
              <w:right w:w="70" w:type="dxa"/>
            </w:tcMar>
          </w:tcPr>
          <w:p>
            <w:pPr>
              <w:pStyle w:val="CadEETableStyle"/>
            </w:pPr>
            <w:r>
              <w:t>0.000000</w:t>
            </w:r>
          </w:p>
        </w:tc>
        <w:tc>
          <w:tcPr>
            <w:tcW w:w="1653" w:type="dxa"/>
            <w:vAlign w:val="center"/>
            <w:tcMar>
              <w:top w:w="60" w:type="dxa"/>
              <w:left w:w="70" w:type="dxa"/>
              <w:bottom w:w="60" w:type="dxa"/>
              <w:right w:w="70" w:type="dxa"/>
            </w:tcMar>
          </w:tcPr>
          <w:p>
            <w:pPr>
              <w:pStyle w:val="CadEETableStyle"/>
            </w:pPr>
            <w:r>
              <w:t>0</w:t>
            </w:r>
          </w:p>
        </w:tc>
        <w:tc>
          <w:tcPr>
            <w:tcW w:w="1653" w:type="dxa"/>
            <w:vAlign w:val="center"/>
            <w:tcMar>
              <w:top w:w="60" w:type="dxa"/>
              <w:left w:w="70" w:type="dxa"/>
              <w:bottom w:w="60" w:type="dxa"/>
              <w:right w:w="70" w:type="dxa"/>
            </w:tcMar>
          </w:tcPr>
          <w:p>
            <w:pPr>
              <w:pStyle w:val="CadEETableStyle"/>
            </w:pPr>
            <w:r>
              <w:t>0</w:t>
            </w:r>
          </w:p>
        </w:tc>
        <w:tc>
          <w:tcPr>
            <w:tcW w:w="2480" w:type="dxa"/>
            <w:vAlign w:val="center"/>
            <w:tcMar>
              <w:top w:w="60" w:type="dxa"/>
              <w:left w:w="70" w:type="dxa"/>
              <w:bottom w:w="60" w:type="dxa"/>
              <w:right w:w="70" w:type="dxa"/>
            </w:tcMar>
          </w:tcPr>
          <w:p>
            <w:pPr>
              <w:pStyle w:val="CadEETableStyle"/>
            </w:pPr>
            <w:r>
              <w:t>17.754174</w:t>
            </w:r>
          </w:p>
        </w:tc>
      </w:tr>
      <w:tr>
        <w:tc>
          <w:tcPr>
            <w:tcW w:w="1240" w:type="dxa"/>
            <w:vAlign w:val="center"/>
            <w:tcMar>
              <w:top w:w="60" w:type="dxa"/>
              <w:left w:w="70" w:type="dxa"/>
              <w:bottom w:w="60" w:type="dxa"/>
              <w:right w:w="70" w:type="dxa"/>
            </w:tcMar>
          </w:tcPr>
          <w:p>
            <w:pPr>
              <w:pStyle w:val="CadEETableStyle"/>
            </w:pPr>
            <w:r>
              <w:t>1</w:t>
            </w:r>
          </w:p>
        </w:tc>
        <w:tc>
          <w:tcPr>
            <w:tcW w:w="1653" w:type="dxa"/>
            <w:vAlign w:val="center"/>
            <w:tcMar>
              <w:top w:w="60" w:type="dxa"/>
              <w:left w:w="70" w:type="dxa"/>
              <w:bottom w:w="60" w:type="dxa"/>
              <w:right w:w="70" w:type="dxa"/>
            </w:tcMar>
          </w:tcPr>
          <w:p>
            <w:pPr>
              <w:pStyle w:val="CadEETableStyle"/>
            </w:pPr>
            <w:r>
              <w:t>0.000000</w:t>
            </w:r>
          </w:p>
        </w:tc>
        <w:tc>
          <w:tcPr>
            <w:tcW w:w="1653" w:type="dxa"/>
            <w:vAlign w:val="center"/>
            <w:tcMar>
              <w:top w:w="60" w:type="dxa"/>
              <w:left w:w="70" w:type="dxa"/>
              <w:bottom w:w="60" w:type="dxa"/>
              <w:right w:w="70" w:type="dxa"/>
            </w:tcMar>
          </w:tcPr>
          <w:p>
            <w:pPr>
              <w:pStyle w:val="CadEETableStyle"/>
            </w:pPr>
            <w:r>
              <w:t>0.050000</w:t>
            </w:r>
          </w:p>
        </w:tc>
        <w:tc>
          <w:tcPr>
            <w:tcW w:w="1653" w:type="dxa"/>
            <w:vAlign w:val="center"/>
            <w:tcMar>
              <w:top w:w="60" w:type="dxa"/>
              <w:left w:w="70" w:type="dxa"/>
              <w:bottom w:w="60" w:type="dxa"/>
              <w:right w:w="70" w:type="dxa"/>
            </w:tcMar>
          </w:tcPr>
          <w:p>
            <w:pPr>
              <w:pStyle w:val="CadEETableStyle"/>
            </w:pPr>
            <w:r>
              <w:t>0</w:t>
            </w:r>
          </w:p>
        </w:tc>
        <w:tc>
          <w:tcPr>
            <w:tcW w:w="1653" w:type="dxa"/>
            <w:vAlign w:val="center"/>
            <w:tcMar>
              <w:top w:w="60" w:type="dxa"/>
              <w:left w:w="70" w:type="dxa"/>
              <w:bottom w:w="60" w:type="dxa"/>
              <w:right w:w="70" w:type="dxa"/>
            </w:tcMar>
          </w:tcPr>
          <w:p>
            <w:pPr>
              <w:pStyle w:val="CadEETableStyle"/>
            </w:pPr>
            <w:r>
              <w:t>1</w:t>
            </w:r>
          </w:p>
        </w:tc>
        <w:tc>
          <w:tcPr>
            <w:tcW w:w="2480" w:type="dxa"/>
            <w:vAlign w:val="center"/>
            <w:tcMar>
              <w:top w:w="60" w:type="dxa"/>
              <w:left w:w="70" w:type="dxa"/>
              <w:bottom w:w="60" w:type="dxa"/>
              <w:right w:w="70" w:type="dxa"/>
            </w:tcMar>
          </w:tcPr>
          <w:p>
            <w:pPr>
              <w:pStyle w:val="CadEETableStyle"/>
            </w:pPr>
            <w:r>
              <w:t>17.578582</w:t>
            </w:r>
          </w:p>
        </w:tc>
      </w:tr>
      <w:tr>
        <w:tc>
          <w:tcPr>
            <w:tcW w:w="1240" w:type="dxa"/>
            <w:vAlign w:val="center"/>
            <w:tcMar>
              <w:top w:w="60" w:type="dxa"/>
              <w:left w:w="70" w:type="dxa"/>
              <w:bottom w:w="60" w:type="dxa"/>
              <w:right w:w="70" w:type="dxa"/>
            </w:tcMar>
          </w:tcPr>
          <w:p>
            <w:pPr>
              <w:pStyle w:val="CadEETableStyle"/>
            </w:pPr>
            <w:r>
              <w:t>2</w:t>
            </w:r>
          </w:p>
        </w:tc>
        <w:tc>
          <w:tcPr>
            <w:tcW w:w="1653" w:type="dxa"/>
            <w:vAlign w:val="center"/>
            <w:tcMar>
              <w:top w:w="60" w:type="dxa"/>
              <w:left w:w="70" w:type="dxa"/>
              <w:bottom w:w="60" w:type="dxa"/>
              <w:right w:w="70" w:type="dxa"/>
            </w:tcMar>
          </w:tcPr>
          <w:p>
            <w:pPr>
              <w:pStyle w:val="CadEETableStyle"/>
            </w:pPr>
            <w:r>
              <w:t>0.000000</w:t>
            </w:r>
          </w:p>
        </w:tc>
        <w:tc>
          <w:tcPr>
            <w:tcW w:w="1653" w:type="dxa"/>
            <w:vAlign w:val="center"/>
            <w:tcMar>
              <w:top w:w="60" w:type="dxa"/>
              <w:left w:w="70" w:type="dxa"/>
              <w:bottom w:w="60" w:type="dxa"/>
              <w:right w:w="70" w:type="dxa"/>
            </w:tcMar>
          </w:tcPr>
          <w:p>
            <w:pPr>
              <w:pStyle w:val="CadEETableStyle"/>
            </w:pPr>
            <w:r>
              <w:t>0.200000</w:t>
            </w:r>
          </w:p>
        </w:tc>
        <w:tc>
          <w:tcPr>
            <w:tcW w:w="1653" w:type="dxa"/>
            <w:vAlign w:val="center"/>
            <w:tcMar>
              <w:top w:w="60" w:type="dxa"/>
              <w:left w:w="70" w:type="dxa"/>
              <w:bottom w:w="60" w:type="dxa"/>
              <w:right w:w="70" w:type="dxa"/>
            </w:tcMar>
          </w:tcPr>
          <w:p>
            <w:pPr>
              <w:pStyle w:val="CadEETableStyle"/>
            </w:pPr>
            <w:r>
              <w:t>0</w:t>
            </w:r>
          </w:p>
        </w:tc>
        <w:tc>
          <w:tcPr>
            <w:tcW w:w="1653" w:type="dxa"/>
            <w:vAlign w:val="center"/>
            <w:tcMar>
              <w:top w:w="60" w:type="dxa"/>
              <w:left w:w="70" w:type="dxa"/>
              <w:bottom w:w="60" w:type="dxa"/>
              <w:right w:w="70" w:type="dxa"/>
            </w:tcMar>
          </w:tcPr>
          <w:p>
            <w:pPr>
              <w:pStyle w:val="CadEETableStyle"/>
            </w:pPr>
            <w:r>
              <w:t>2</w:t>
            </w:r>
          </w:p>
        </w:tc>
        <w:tc>
          <w:tcPr>
            <w:tcW w:w="2480" w:type="dxa"/>
            <w:vAlign w:val="center"/>
            <w:tcMar>
              <w:top w:w="60" w:type="dxa"/>
              <w:left w:w="70" w:type="dxa"/>
              <w:bottom w:w="60" w:type="dxa"/>
              <w:right w:w="70" w:type="dxa"/>
            </w:tcMar>
          </w:tcPr>
          <w:p>
            <w:pPr>
              <w:pStyle w:val="CadEETableStyle"/>
            </w:pPr>
            <w:r>
              <w:t>17.526824</w:t>
            </w:r>
          </w:p>
        </w:tc>
      </w:tr>
      <w:tr>
        <w:tc>
          <w:tcPr>
            <w:tcW w:w="1240" w:type="dxa"/>
            <w:vAlign w:val="center"/>
            <w:tcMar>
              <w:top w:w="60" w:type="dxa"/>
              <w:left w:w="70" w:type="dxa"/>
              <w:bottom w:w="60" w:type="dxa"/>
              <w:right w:w="70" w:type="dxa"/>
            </w:tcMar>
          </w:tcPr>
          <w:p>
            <w:pPr>
              <w:pStyle w:val="CadEETableStyle"/>
            </w:pPr>
            <w:r>
              <w:t>3</w:t>
            </w:r>
          </w:p>
        </w:tc>
        <w:tc>
          <w:tcPr>
            <w:tcW w:w="1653" w:type="dxa"/>
            <w:vAlign w:val="center"/>
            <w:tcMar>
              <w:top w:w="60" w:type="dxa"/>
              <w:left w:w="70" w:type="dxa"/>
              <w:bottom w:w="60" w:type="dxa"/>
              <w:right w:w="70" w:type="dxa"/>
            </w:tcMar>
          </w:tcPr>
          <w:p>
            <w:pPr>
              <w:pStyle w:val="CadEETableStyle"/>
            </w:pPr>
            <w:r>
              <w:t>0.000000</w:t>
            </w:r>
          </w:p>
        </w:tc>
        <w:tc>
          <w:tcPr>
            <w:tcW w:w="1653" w:type="dxa"/>
            <w:vAlign w:val="center"/>
            <w:tcMar>
              <w:top w:w="60" w:type="dxa"/>
              <w:left w:w="70" w:type="dxa"/>
              <w:bottom w:w="60" w:type="dxa"/>
              <w:right w:w="70" w:type="dxa"/>
            </w:tcMar>
          </w:tcPr>
          <w:p>
            <w:pPr>
              <w:pStyle w:val="CadEETableStyle"/>
            </w:pPr>
            <w:r>
              <w:t>0.350000</w:t>
            </w:r>
          </w:p>
        </w:tc>
        <w:tc>
          <w:tcPr>
            <w:tcW w:w="1653" w:type="dxa"/>
            <w:vAlign w:val="center"/>
            <w:tcMar>
              <w:top w:w="60" w:type="dxa"/>
              <w:left w:w="70" w:type="dxa"/>
              <w:bottom w:w="60" w:type="dxa"/>
              <w:right w:w="70" w:type="dxa"/>
            </w:tcMar>
          </w:tcPr>
          <w:p>
            <w:pPr>
              <w:pStyle w:val="CadEETableStyle"/>
            </w:pPr>
            <w:r>
              <w:t>0</w:t>
            </w:r>
          </w:p>
        </w:tc>
        <w:tc>
          <w:tcPr>
            <w:tcW w:w="1653" w:type="dxa"/>
            <w:vAlign w:val="center"/>
            <w:tcMar>
              <w:top w:w="60" w:type="dxa"/>
              <w:left w:w="70" w:type="dxa"/>
              <w:bottom w:w="60" w:type="dxa"/>
              <w:right w:w="70" w:type="dxa"/>
            </w:tcMar>
          </w:tcPr>
          <w:p>
            <w:pPr>
              <w:pStyle w:val="CadEETableStyle"/>
            </w:pPr>
            <w:r>
              <w:t>3</w:t>
            </w:r>
          </w:p>
        </w:tc>
        <w:tc>
          <w:tcPr>
            <w:tcW w:w="2480" w:type="dxa"/>
            <w:vAlign w:val="center"/>
            <w:tcMar>
              <w:top w:w="60" w:type="dxa"/>
              <w:left w:w="70" w:type="dxa"/>
              <w:bottom w:w="60" w:type="dxa"/>
              <w:right w:w="70" w:type="dxa"/>
            </w:tcMar>
          </w:tcPr>
          <w:p>
            <w:pPr>
              <w:pStyle w:val="CadEETableStyle"/>
            </w:pPr>
            <w:r>
              <w:t>17.622671</w:t>
            </w:r>
          </w:p>
        </w:tc>
      </w:tr>
      <w:tr>
        <w:tc>
          <w:tcPr>
            <w:tcW w:w="1240" w:type="dxa"/>
            <w:vAlign w:val="center"/>
            <w:tcMar>
              <w:top w:w="60" w:type="dxa"/>
              <w:left w:w="70" w:type="dxa"/>
              <w:bottom w:w="60" w:type="dxa"/>
              <w:right w:w="70" w:type="dxa"/>
            </w:tcMar>
          </w:tcPr>
          <w:p>
            <w:pPr>
              <w:pStyle w:val="CadEETableStyle"/>
            </w:pPr>
            <w:r>
              <w:t>4</w:t>
            </w:r>
          </w:p>
        </w:tc>
        <w:tc>
          <w:tcPr>
            <w:tcW w:w="1653" w:type="dxa"/>
            <w:vAlign w:val="center"/>
            <w:tcMar>
              <w:top w:w="60" w:type="dxa"/>
              <w:left w:w="70" w:type="dxa"/>
              <w:bottom w:w="60" w:type="dxa"/>
              <w:right w:w="70" w:type="dxa"/>
            </w:tcMar>
          </w:tcPr>
          <w:p>
            <w:pPr>
              <w:pStyle w:val="CadEETableStyle"/>
            </w:pPr>
            <w:r>
              <w:t>0.000000</w:t>
            </w:r>
          </w:p>
        </w:tc>
        <w:tc>
          <w:tcPr>
            <w:tcW w:w="1653" w:type="dxa"/>
            <w:vAlign w:val="center"/>
            <w:tcMar>
              <w:top w:w="60" w:type="dxa"/>
              <w:left w:w="70" w:type="dxa"/>
              <w:bottom w:w="60" w:type="dxa"/>
              <w:right w:w="70" w:type="dxa"/>
            </w:tcMar>
          </w:tcPr>
          <w:p>
            <w:pPr>
              <w:pStyle w:val="CadEETableStyle"/>
            </w:pPr>
            <w:r>
              <w:t>0.450000</w:t>
            </w:r>
          </w:p>
        </w:tc>
        <w:tc>
          <w:tcPr>
            <w:tcW w:w="1653" w:type="dxa"/>
            <w:vAlign w:val="center"/>
            <w:tcMar>
              <w:top w:w="60" w:type="dxa"/>
              <w:left w:w="70" w:type="dxa"/>
              <w:bottom w:w="60" w:type="dxa"/>
              <w:right w:w="70" w:type="dxa"/>
            </w:tcMar>
          </w:tcPr>
          <w:p>
            <w:pPr>
              <w:pStyle w:val="CadEETableStyle"/>
            </w:pPr>
            <w:r>
              <w:t>0</w:t>
            </w:r>
          </w:p>
        </w:tc>
        <w:tc>
          <w:tcPr>
            <w:tcW w:w="1653" w:type="dxa"/>
            <w:vAlign w:val="center"/>
            <w:tcMar>
              <w:top w:w="60" w:type="dxa"/>
              <w:left w:w="70" w:type="dxa"/>
              <w:bottom w:w="60" w:type="dxa"/>
              <w:right w:w="70" w:type="dxa"/>
            </w:tcMar>
          </w:tcPr>
          <w:p>
            <w:pPr>
              <w:pStyle w:val="CadEETableStyle"/>
            </w:pPr>
            <w:r>
              <w:t>4</w:t>
            </w:r>
          </w:p>
        </w:tc>
        <w:tc>
          <w:tcPr>
            <w:tcW w:w="2480" w:type="dxa"/>
            <w:vAlign w:val="center"/>
            <w:tcMar>
              <w:top w:w="60" w:type="dxa"/>
              <w:left w:w="70" w:type="dxa"/>
              <w:bottom w:w="60" w:type="dxa"/>
              <w:right w:w="70" w:type="dxa"/>
            </w:tcMar>
          </w:tcPr>
          <w:p>
            <w:pPr>
              <w:pStyle w:val="CadEETableStyle"/>
            </w:pPr>
            <w:r>
              <w:t>17.622671</w:t>
            </w:r>
          </w:p>
        </w:tc>
      </w:tr>
      <w:tr>
        <w:tc>
          <w:tcPr>
            <w:tcW w:w="1240" w:type="dxa"/>
            <w:vAlign w:val="center"/>
            <w:tcMar>
              <w:top w:w="60" w:type="dxa"/>
              <w:left w:w="70" w:type="dxa"/>
              <w:bottom w:w="60" w:type="dxa"/>
              <w:right w:w="70" w:type="dxa"/>
            </w:tcMar>
          </w:tcPr>
          <w:p>
            <w:pPr>
              <w:pStyle w:val="CadEETableStyle"/>
            </w:pPr>
            <w:r>
              <w:t>5</w:t>
            </w:r>
          </w:p>
        </w:tc>
        <w:tc>
          <w:tcPr>
            <w:tcW w:w="1653" w:type="dxa"/>
            <w:vAlign w:val="center"/>
            <w:tcMar>
              <w:top w:w="60" w:type="dxa"/>
              <w:left w:w="70" w:type="dxa"/>
              <w:bottom w:w="60" w:type="dxa"/>
              <w:right w:w="70" w:type="dxa"/>
            </w:tcMar>
          </w:tcPr>
          <w:p>
            <w:pPr>
              <w:pStyle w:val="CadEETableStyle"/>
            </w:pPr>
            <w:r>
              <w:t>0.000000</w:t>
            </w:r>
          </w:p>
        </w:tc>
        <w:tc>
          <w:tcPr>
            <w:tcW w:w="1653" w:type="dxa"/>
            <w:vAlign w:val="center"/>
            <w:tcMar>
              <w:top w:w="60" w:type="dxa"/>
              <w:left w:w="70" w:type="dxa"/>
              <w:bottom w:w="60" w:type="dxa"/>
              <w:right w:w="70" w:type="dxa"/>
            </w:tcMar>
          </w:tcPr>
          <w:p>
            <w:pPr>
              <w:pStyle w:val="CadEETableStyle"/>
            </w:pPr>
            <w:r>
              <w:t>0.600000</w:t>
            </w:r>
          </w:p>
        </w:tc>
        <w:tc>
          <w:tcPr>
            <w:tcW w:w="1653" w:type="dxa"/>
            <w:vAlign w:val="center"/>
            <w:tcMar>
              <w:top w:w="60" w:type="dxa"/>
              <w:left w:w="70" w:type="dxa"/>
              <w:bottom w:w="60" w:type="dxa"/>
              <w:right w:w="70" w:type="dxa"/>
            </w:tcMar>
          </w:tcPr>
          <w:p>
            <w:pPr>
              <w:pStyle w:val="CadEETableStyle"/>
            </w:pPr>
            <w:r>
              <w:t>0</w:t>
            </w:r>
          </w:p>
        </w:tc>
        <w:tc>
          <w:tcPr>
            <w:tcW w:w="1653" w:type="dxa"/>
            <w:vAlign w:val="center"/>
            <w:tcMar>
              <w:top w:w="60" w:type="dxa"/>
              <w:left w:w="70" w:type="dxa"/>
              <w:bottom w:w="60" w:type="dxa"/>
              <w:right w:w="70" w:type="dxa"/>
            </w:tcMar>
          </w:tcPr>
          <w:p>
            <w:pPr>
              <w:pStyle w:val="CadEETableStyle"/>
            </w:pPr>
            <w:r>
              <w:t>5</w:t>
            </w:r>
          </w:p>
        </w:tc>
        <w:tc>
          <w:tcPr>
            <w:tcW w:w="2480" w:type="dxa"/>
            <w:vAlign w:val="center"/>
            <w:tcMar>
              <w:top w:w="60" w:type="dxa"/>
              <w:left w:w="70" w:type="dxa"/>
              <w:bottom w:w="60" w:type="dxa"/>
              <w:right w:w="70" w:type="dxa"/>
            </w:tcMar>
          </w:tcPr>
          <w:p>
            <w:pPr>
              <w:pStyle w:val="CadEETableStyle"/>
            </w:pPr>
            <w:r>
              <w:t>17.526824</w:t>
            </w:r>
          </w:p>
        </w:tc>
      </w:tr>
      <w:tr>
        <w:tc>
          <w:tcPr>
            <w:tcW w:w="1240" w:type="dxa"/>
            <w:vAlign w:val="center"/>
            <w:tcMar>
              <w:top w:w="60" w:type="dxa"/>
              <w:left w:w="70" w:type="dxa"/>
              <w:bottom w:w="60" w:type="dxa"/>
              <w:right w:w="70" w:type="dxa"/>
            </w:tcMar>
          </w:tcPr>
          <w:p>
            <w:pPr>
              <w:pStyle w:val="CadEETableStyle"/>
            </w:pPr>
            <w:r>
              <w:t>6</w:t>
            </w:r>
          </w:p>
        </w:tc>
        <w:tc>
          <w:tcPr>
            <w:tcW w:w="1653" w:type="dxa"/>
            <w:vAlign w:val="center"/>
            <w:tcMar>
              <w:top w:w="60" w:type="dxa"/>
              <w:left w:w="70" w:type="dxa"/>
              <w:bottom w:w="60" w:type="dxa"/>
              <w:right w:w="70" w:type="dxa"/>
            </w:tcMar>
          </w:tcPr>
          <w:p>
            <w:pPr>
              <w:pStyle w:val="CadEETableStyle"/>
            </w:pPr>
            <w:r>
              <w:t>0.000000</w:t>
            </w:r>
          </w:p>
        </w:tc>
        <w:tc>
          <w:tcPr>
            <w:tcW w:w="1653" w:type="dxa"/>
            <w:vAlign w:val="center"/>
            <w:tcMar>
              <w:top w:w="60" w:type="dxa"/>
              <w:left w:w="70" w:type="dxa"/>
              <w:bottom w:w="60" w:type="dxa"/>
              <w:right w:w="70" w:type="dxa"/>
            </w:tcMar>
          </w:tcPr>
          <w:p>
            <w:pPr>
              <w:pStyle w:val="CadEETableStyle"/>
            </w:pPr>
            <w:r>
              <w:t>0.750000</w:t>
            </w:r>
          </w:p>
        </w:tc>
        <w:tc>
          <w:tcPr>
            <w:tcW w:w="1653" w:type="dxa"/>
            <w:vAlign w:val="center"/>
            <w:tcMar>
              <w:top w:w="60" w:type="dxa"/>
              <w:left w:w="70" w:type="dxa"/>
              <w:bottom w:w="60" w:type="dxa"/>
              <w:right w:w="70" w:type="dxa"/>
            </w:tcMar>
          </w:tcPr>
          <w:p>
            <w:pPr>
              <w:pStyle w:val="CadEETableStyle"/>
            </w:pPr>
            <w:r>
              <w:t>0</w:t>
            </w:r>
          </w:p>
        </w:tc>
        <w:tc>
          <w:tcPr>
            <w:tcW w:w="1653" w:type="dxa"/>
            <w:vAlign w:val="center"/>
            <w:tcMar>
              <w:top w:w="60" w:type="dxa"/>
              <w:left w:w="70" w:type="dxa"/>
              <w:bottom w:w="60" w:type="dxa"/>
              <w:right w:w="70" w:type="dxa"/>
            </w:tcMar>
          </w:tcPr>
          <w:p>
            <w:pPr>
              <w:pStyle w:val="CadEETableStyle"/>
            </w:pPr>
            <w:r>
              <w:t>6</w:t>
            </w:r>
          </w:p>
        </w:tc>
        <w:tc>
          <w:tcPr>
            <w:tcW w:w="2480" w:type="dxa"/>
            <w:vAlign w:val="center"/>
            <w:tcMar>
              <w:top w:w="60" w:type="dxa"/>
              <w:left w:w="70" w:type="dxa"/>
              <w:bottom w:w="60" w:type="dxa"/>
              <w:right w:w="70" w:type="dxa"/>
            </w:tcMar>
          </w:tcPr>
          <w:p>
            <w:pPr>
              <w:pStyle w:val="CadEETableStyle"/>
            </w:pPr>
            <w:r>
              <w:t>17.578582</w:t>
            </w:r>
          </w:p>
        </w:tc>
      </w:tr>
      <w:tr>
        <w:tc>
          <w:tcPr>
            <w:tcW w:w="1240" w:type="dxa"/>
            <w:vAlign w:val="center"/>
            <w:tcMar>
              <w:top w:w="60" w:type="dxa"/>
              <w:left w:w="70" w:type="dxa"/>
              <w:bottom w:w="60" w:type="dxa"/>
              <w:right w:w="70" w:type="dxa"/>
            </w:tcMar>
          </w:tcPr>
          <w:p>
            <w:pPr>
              <w:pStyle w:val="CadEETableStyle"/>
            </w:pPr>
            <w:r>
              <w:t>7</w:t>
            </w:r>
          </w:p>
        </w:tc>
        <w:tc>
          <w:tcPr>
            <w:tcW w:w="1653" w:type="dxa"/>
            <w:vAlign w:val="center"/>
            <w:tcMar>
              <w:top w:w="60" w:type="dxa"/>
              <w:left w:w="70" w:type="dxa"/>
              <w:bottom w:w="60" w:type="dxa"/>
              <w:right w:w="70" w:type="dxa"/>
            </w:tcMar>
          </w:tcPr>
          <w:p>
            <w:pPr>
              <w:pStyle w:val="CadEETableStyle"/>
            </w:pPr>
            <w:r>
              <w:t>0.000000</w:t>
            </w:r>
          </w:p>
        </w:tc>
        <w:tc>
          <w:tcPr>
            <w:tcW w:w="1653" w:type="dxa"/>
            <w:vAlign w:val="center"/>
            <w:tcMar>
              <w:top w:w="60" w:type="dxa"/>
              <w:left w:w="70" w:type="dxa"/>
              <w:bottom w:w="60" w:type="dxa"/>
              <w:right w:w="70" w:type="dxa"/>
            </w:tcMar>
          </w:tcPr>
          <w:p>
            <w:pPr>
              <w:pStyle w:val="CadEETableStyle"/>
            </w:pPr>
            <w:r>
              <w:t>0.800000</w:t>
            </w:r>
          </w:p>
        </w:tc>
        <w:tc>
          <w:tcPr>
            <w:tcW w:w="1653" w:type="dxa"/>
            <w:vAlign w:val="center"/>
            <w:tcMar>
              <w:top w:w="60" w:type="dxa"/>
              <w:left w:w="70" w:type="dxa"/>
              <w:bottom w:w="60" w:type="dxa"/>
              <w:right w:w="70" w:type="dxa"/>
            </w:tcMar>
          </w:tcPr>
          <w:p>
            <w:pPr>
              <w:pStyle w:val="CadEETableStyle"/>
            </w:pPr>
            <w:r>
              <w:t>0</w:t>
            </w:r>
          </w:p>
        </w:tc>
        <w:tc>
          <w:tcPr>
            <w:tcW w:w="1653" w:type="dxa"/>
            <w:vAlign w:val="center"/>
            <w:tcMar>
              <w:top w:w="60" w:type="dxa"/>
              <w:left w:w="70" w:type="dxa"/>
              <w:bottom w:w="60" w:type="dxa"/>
              <w:right w:w="70" w:type="dxa"/>
            </w:tcMar>
          </w:tcPr>
          <w:p>
            <w:pPr>
              <w:pStyle w:val="CadEETableStyle"/>
            </w:pPr>
            <w:r>
              <w:t>7</w:t>
            </w:r>
          </w:p>
        </w:tc>
        <w:tc>
          <w:tcPr>
            <w:tcW w:w="2480" w:type="dxa"/>
            <w:vAlign w:val="center"/>
            <w:tcMar>
              <w:top w:w="60" w:type="dxa"/>
              <w:left w:w="70" w:type="dxa"/>
              <w:bottom w:w="60" w:type="dxa"/>
              <w:right w:w="70" w:type="dxa"/>
            </w:tcMar>
          </w:tcPr>
          <w:p>
            <w:pPr>
              <w:pStyle w:val="CadEETableStyle"/>
            </w:pPr>
            <w:r>
              <w:t>17.754174</w:t>
            </w:r>
          </w:p>
        </w:tc>
      </w:tr>
      <w:tr>
        <w:tc>
          <w:tcPr>
            <w:tcW w:w="1240" w:type="dxa"/>
            <w:vAlign w:val="center"/>
            <w:tcMar>
              <w:top w:w="60" w:type="dxa"/>
              <w:left w:w="70" w:type="dxa"/>
              <w:bottom w:w="60" w:type="dxa"/>
              <w:right w:w="70" w:type="dxa"/>
            </w:tcMar>
          </w:tcPr>
          <w:p>
            <w:pPr>
              <w:pStyle w:val="CadEETableStyle"/>
            </w:pPr>
            <w:r>
              <w:t>8</w:t>
            </w:r>
          </w:p>
        </w:tc>
        <w:tc>
          <w:tcPr>
            <w:tcW w:w="1653" w:type="dxa"/>
            <w:vAlign w:val="center"/>
            <w:tcMar>
              <w:top w:w="60" w:type="dxa"/>
              <w:left w:w="70" w:type="dxa"/>
              <w:bottom w:w="60" w:type="dxa"/>
              <w:right w:w="70" w:type="dxa"/>
            </w:tcMar>
          </w:tcPr>
          <w:p>
            <w:pPr>
              <w:pStyle w:val="CadEETableStyle"/>
            </w:pPr>
            <w:r>
              <w:t>0.050000</w:t>
            </w:r>
          </w:p>
        </w:tc>
        <w:tc>
          <w:tcPr>
            <w:tcW w:w="1653" w:type="dxa"/>
            <w:vAlign w:val="center"/>
            <w:tcMar>
              <w:top w:w="60" w:type="dxa"/>
              <w:left w:w="70" w:type="dxa"/>
              <w:bottom w:w="60" w:type="dxa"/>
              <w:right w:w="70" w:type="dxa"/>
            </w:tcMar>
          </w:tcPr>
          <w:p>
            <w:pPr>
              <w:pStyle w:val="CadEETableStyle"/>
            </w:pPr>
            <w:r>
              <w:t>0.000000</w:t>
            </w:r>
          </w:p>
        </w:tc>
        <w:tc>
          <w:tcPr>
            <w:tcW w:w="1653" w:type="dxa"/>
            <w:vAlign w:val="center"/>
            <w:tcMar>
              <w:top w:w="60" w:type="dxa"/>
              <w:left w:w="70" w:type="dxa"/>
              <w:bottom w:w="60" w:type="dxa"/>
              <w:right w:w="70" w:type="dxa"/>
            </w:tcMar>
          </w:tcPr>
          <w:p>
            <w:pPr>
              <w:pStyle w:val="CadEETableStyle"/>
            </w:pPr>
            <w:r>
              <w:t>1</w:t>
            </w:r>
          </w:p>
        </w:tc>
        <w:tc>
          <w:tcPr>
            <w:tcW w:w="1653" w:type="dxa"/>
            <w:vAlign w:val="center"/>
            <w:tcMar>
              <w:top w:w="60" w:type="dxa"/>
              <w:left w:w="70" w:type="dxa"/>
              <w:bottom w:w="60" w:type="dxa"/>
              <w:right w:w="70" w:type="dxa"/>
            </w:tcMar>
          </w:tcPr>
          <w:p>
            <w:pPr>
              <w:pStyle w:val="CadEETableStyle"/>
            </w:pPr>
            <w:r>
              <w:t>0</w:t>
            </w:r>
          </w:p>
        </w:tc>
        <w:tc>
          <w:tcPr>
            <w:tcW w:w="2480" w:type="dxa"/>
            <w:vAlign w:val="center"/>
            <w:tcMar>
              <w:top w:w="60" w:type="dxa"/>
              <w:left w:w="70" w:type="dxa"/>
              <w:bottom w:w="60" w:type="dxa"/>
              <w:right w:w="70" w:type="dxa"/>
            </w:tcMar>
          </w:tcPr>
          <w:p>
            <w:pPr>
              <w:pStyle w:val="CadEETableStyle"/>
            </w:pPr>
            <w:r>
              <w:t>-2.512783</w:t>
            </w:r>
          </w:p>
        </w:tc>
      </w:tr>
      <w:tr>
        <w:tc>
          <w:tcPr>
            <w:tcW w:w="1240" w:type="dxa"/>
            <w:vAlign w:val="center"/>
            <w:tcMar>
              <w:top w:w="60" w:type="dxa"/>
              <w:left w:w="70" w:type="dxa"/>
              <w:bottom w:w="60" w:type="dxa"/>
              <w:right w:w="70" w:type="dxa"/>
            </w:tcMar>
          </w:tcPr>
          <w:p>
            <w:pPr>
              <w:pStyle w:val="CadEETableStyle"/>
            </w:pPr>
            <w:r>
              <w:t>9</w:t>
            </w:r>
          </w:p>
        </w:tc>
        <w:tc>
          <w:tcPr>
            <w:tcW w:w="1653" w:type="dxa"/>
            <w:vAlign w:val="center"/>
            <w:tcMar>
              <w:top w:w="60" w:type="dxa"/>
              <w:left w:w="70" w:type="dxa"/>
              <w:bottom w:w="60" w:type="dxa"/>
              <w:right w:w="70" w:type="dxa"/>
            </w:tcMar>
          </w:tcPr>
          <w:p>
            <w:pPr>
              <w:pStyle w:val="CadEETableStyle"/>
            </w:pPr>
            <w:r>
              <w:t>0.050000</w:t>
            </w:r>
          </w:p>
        </w:tc>
        <w:tc>
          <w:tcPr>
            <w:tcW w:w="1653" w:type="dxa"/>
            <w:vAlign w:val="center"/>
            <w:tcMar>
              <w:top w:w="60" w:type="dxa"/>
              <w:left w:w="70" w:type="dxa"/>
              <w:bottom w:w="60" w:type="dxa"/>
              <w:right w:w="70" w:type="dxa"/>
            </w:tcMar>
          </w:tcPr>
          <w:p>
            <w:pPr>
              <w:pStyle w:val="CadEETableStyle"/>
            </w:pPr>
            <w:r>
              <w:t>0.050000</w:t>
            </w:r>
          </w:p>
        </w:tc>
        <w:tc>
          <w:tcPr>
            <w:tcW w:w="1653" w:type="dxa"/>
            <w:vAlign w:val="center"/>
            <w:tcMar>
              <w:top w:w="60" w:type="dxa"/>
              <w:left w:w="70" w:type="dxa"/>
              <w:bottom w:w="60" w:type="dxa"/>
              <w:right w:w="70" w:type="dxa"/>
            </w:tcMar>
          </w:tcPr>
          <w:p>
            <w:pPr>
              <w:pStyle w:val="CadEETableStyle"/>
            </w:pPr>
            <w:r>
              <w:t>1</w:t>
            </w:r>
          </w:p>
        </w:tc>
        <w:tc>
          <w:tcPr>
            <w:tcW w:w="1653" w:type="dxa"/>
            <w:vAlign w:val="center"/>
            <w:tcMar>
              <w:top w:w="60" w:type="dxa"/>
              <w:left w:w="70" w:type="dxa"/>
              <w:bottom w:w="60" w:type="dxa"/>
              <w:right w:w="70" w:type="dxa"/>
            </w:tcMar>
          </w:tcPr>
          <w:p>
            <w:pPr>
              <w:pStyle w:val="CadEETableStyle"/>
            </w:pPr>
            <w:r>
              <w:t>1</w:t>
            </w:r>
          </w:p>
        </w:tc>
        <w:tc>
          <w:tcPr>
            <w:tcW w:w="2480" w:type="dxa"/>
            <w:vAlign w:val="center"/>
            <w:tcMar>
              <w:top w:w="60" w:type="dxa"/>
              <w:left w:w="70" w:type="dxa"/>
              <w:bottom w:w="60" w:type="dxa"/>
              <w:right w:w="70" w:type="dxa"/>
            </w:tcMar>
          </w:tcPr>
          <w:p>
            <w:pPr>
              <w:pStyle w:val="CadEETableStyle"/>
            </w:pPr>
            <w:r>
              <w:t>-2.096405</w:t>
            </w:r>
          </w:p>
        </w:tc>
      </w:tr>
      <w:tr>
        <w:tc>
          <w:tcPr>
            <w:tcW w:w="1240" w:type="dxa"/>
            <w:vAlign w:val="center"/>
            <w:tcMar>
              <w:top w:w="60" w:type="dxa"/>
              <w:left w:w="70" w:type="dxa"/>
              <w:bottom w:w="60" w:type="dxa"/>
              <w:right w:w="70" w:type="dxa"/>
            </w:tcMar>
          </w:tcPr>
          <w:p>
            <w:pPr>
              <w:pStyle w:val="CadEETableStyle"/>
            </w:pPr>
            <w:r>
              <w:t>10</w:t>
            </w:r>
          </w:p>
        </w:tc>
        <w:tc>
          <w:tcPr>
            <w:tcW w:w="1653" w:type="dxa"/>
            <w:vAlign w:val="center"/>
            <w:tcMar>
              <w:top w:w="60" w:type="dxa"/>
              <w:left w:w="70" w:type="dxa"/>
              <w:bottom w:w="60" w:type="dxa"/>
              <w:right w:w="70" w:type="dxa"/>
            </w:tcMar>
          </w:tcPr>
          <w:p>
            <w:pPr>
              <w:pStyle w:val="CadEETableStyle"/>
            </w:pPr>
            <w:r>
              <w:t>0.050000</w:t>
            </w:r>
          </w:p>
        </w:tc>
        <w:tc>
          <w:tcPr>
            <w:tcW w:w="1653" w:type="dxa"/>
            <w:vAlign w:val="center"/>
            <w:tcMar>
              <w:top w:w="60" w:type="dxa"/>
              <w:left w:w="70" w:type="dxa"/>
              <w:bottom w:w="60" w:type="dxa"/>
              <w:right w:w="70" w:type="dxa"/>
            </w:tcMar>
          </w:tcPr>
          <w:p>
            <w:pPr>
              <w:pStyle w:val="CadEETableStyle"/>
            </w:pPr>
            <w:r>
              <w:t>0.200000</w:t>
            </w:r>
          </w:p>
        </w:tc>
        <w:tc>
          <w:tcPr>
            <w:tcW w:w="1653" w:type="dxa"/>
            <w:vAlign w:val="center"/>
            <w:tcMar>
              <w:top w:w="60" w:type="dxa"/>
              <w:left w:w="70" w:type="dxa"/>
              <w:bottom w:w="60" w:type="dxa"/>
              <w:right w:w="70" w:type="dxa"/>
            </w:tcMar>
          </w:tcPr>
          <w:p>
            <w:pPr>
              <w:pStyle w:val="CadEETableStyle"/>
            </w:pPr>
            <w:r>
              <w:t>1</w:t>
            </w:r>
          </w:p>
        </w:tc>
        <w:tc>
          <w:tcPr>
            <w:tcW w:w="1653" w:type="dxa"/>
            <w:vAlign w:val="center"/>
            <w:tcMar>
              <w:top w:w="60" w:type="dxa"/>
              <w:left w:w="70" w:type="dxa"/>
              <w:bottom w:w="60" w:type="dxa"/>
              <w:right w:w="70" w:type="dxa"/>
            </w:tcMar>
          </w:tcPr>
          <w:p>
            <w:pPr>
              <w:pStyle w:val="CadEETableStyle"/>
            </w:pPr>
            <w:r>
              <w:t>2</w:t>
            </w:r>
          </w:p>
        </w:tc>
        <w:tc>
          <w:tcPr>
            <w:tcW w:w="2480" w:type="dxa"/>
            <w:vAlign w:val="center"/>
            <w:tcMar>
              <w:top w:w="60" w:type="dxa"/>
              <w:left w:w="70" w:type="dxa"/>
              <w:bottom w:w="60" w:type="dxa"/>
              <w:right w:w="70" w:type="dxa"/>
            </w:tcMar>
          </w:tcPr>
          <w:p>
            <w:pPr>
              <w:pStyle w:val="CadEETableStyle"/>
            </w:pPr>
            <w:r>
              <w:t>-1.629396</w:t>
            </w:r>
          </w:p>
        </w:tc>
      </w:tr>
      <w:tr>
        <w:tc>
          <w:tcPr>
            <w:tcW w:w="1240" w:type="dxa"/>
            <w:vAlign w:val="center"/>
            <w:tcMar>
              <w:top w:w="60" w:type="dxa"/>
              <w:left w:w="70" w:type="dxa"/>
              <w:bottom w:w="60" w:type="dxa"/>
              <w:right w:w="70" w:type="dxa"/>
            </w:tcMar>
          </w:tcPr>
          <w:p>
            <w:pPr>
              <w:pStyle w:val="CadEETableStyle"/>
            </w:pPr>
            <w:r>
              <w:t>11</w:t>
            </w:r>
          </w:p>
        </w:tc>
        <w:tc>
          <w:tcPr>
            <w:tcW w:w="1653" w:type="dxa"/>
            <w:vAlign w:val="center"/>
            <w:tcMar>
              <w:top w:w="60" w:type="dxa"/>
              <w:left w:w="70" w:type="dxa"/>
              <w:bottom w:w="60" w:type="dxa"/>
              <w:right w:w="70" w:type="dxa"/>
            </w:tcMar>
          </w:tcPr>
          <w:p>
            <w:pPr>
              <w:pStyle w:val="CadEETableStyle"/>
            </w:pPr>
            <w:r>
              <w:t>0.050000</w:t>
            </w:r>
          </w:p>
        </w:tc>
        <w:tc>
          <w:tcPr>
            <w:tcW w:w="1653" w:type="dxa"/>
            <w:vAlign w:val="center"/>
            <w:tcMar>
              <w:top w:w="60" w:type="dxa"/>
              <w:left w:w="70" w:type="dxa"/>
              <w:bottom w:w="60" w:type="dxa"/>
              <w:right w:w="70" w:type="dxa"/>
            </w:tcMar>
          </w:tcPr>
          <w:p>
            <w:pPr>
              <w:pStyle w:val="CadEETableStyle"/>
            </w:pPr>
            <w:r>
              <w:t>0.350000</w:t>
            </w:r>
          </w:p>
        </w:tc>
        <w:tc>
          <w:tcPr>
            <w:tcW w:w="1653" w:type="dxa"/>
            <w:vAlign w:val="center"/>
            <w:tcMar>
              <w:top w:w="60" w:type="dxa"/>
              <w:left w:w="70" w:type="dxa"/>
              <w:bottom w:w="60" w:type="dxa"/>
              <w:right w:w="70" w:type="dxa"/>
            </w:tcMar>
          </w:tcPr>
          <w:p>
            <w:pPr>
              <w:pStyle w:val="CadEETableStyle"/>
            </w:pPr>
            <w:r>
              <w:t>1</w:t>
            </w:r>
          </w:p>
        </w:tc>
        <w:tc>
          <w:tcPr>
            <w:tcW w:w="1653" w:type="dxa"/>
            <w:vAlign w:val="center"/>
            <w:tcMar>
              <w:top w:w="60" w:type="dxa"/>
              <w:left w:w="70" w:type="dxa"/>
              <w:bottom w:w="60" w:type="dxa"/>
              <w:right w:w="70" w:type="dxa"/>
            </w:tcMar>
          </w:tcPr>
          <w:p>
            <w:pPr>
              <w:pStyle w:val="CadEETableStyle"/>
            </w:pPr>
            <w:r>
              <w:t>3</w:t>
            </w:r>
          </w:p>
        </w:tc>
        <w:tc>
          <w:tcPr>
            <w:tcW w:w="2480" w:type="dxa"/>
            <w:vAlign w:val="center"/>
            <w:tcMar>
              <w:top w:w="60" w:type="dxa"/>
              <w:left w:w="70" w:type="dxa"/>
              <w:bottom w:w="60" w:type="dxa"/>
              <w:right w:w="70" w:type="dxa"/>
            </w:tcMar>
          </w:tcPr>
          <w:p>
            <w:pPr>
              <w:pStyle w:val="CadEETableStyle"/>
            </w:pPr>
            <w:r>
              <w:t>-2.191886</w:t>
            </w:r>
          </w:p>
        </w:tc>
      </w:tr>
      <w:tr>
        <w:tc>
          <w:tcPr>
            <w:tcW w:w="1240" w:type="dxa"/>
            <w:vAlign w:val="center"/>
            <w:tcMar>
              <w:top w:w="60" w:type="dxa"/>
              <w:left w:w="70" w:type="dxa"/>
              <w:bottom w:w="60" w:type="dxa"/>
              <w:right w:w="70" w:type="dxa"/>
            </w:tcMar>
          </w:tcPr>
          <w:p>
            <w:pPr>
              <w:pStyle w:val="CadEETableStyle"/>
            </w:pPr>
            <w:r>
              <w:t>12</w:t>
            </w:r>
          </w:p>
        </w:tc>
        <w:tc>
          <w:tcPr>
            <w:tcW w:w="1653" w:type="dxa"/>
            <w:vAlign w:val="center"/>
            <w:tcMar>
              <w:top w:w="60" w:type="dxa"/>
              <w:left w:w="70" w:type="dxa"/>
              <w:bottom w:w="60" w:type="dxa"/>
              <w:right w:w="70" w:type="dxa"/>
            </w:tcMar>
          </w:tcPr>
          <w:p>
            <w:pPr>
              <w:pStyle w:val="CadEETableStyle"/>
            </w:pPr>
            <w:r>
              <w:t>0.050000</w:t>
            </w:r>
          </w:p>
        </w:tc>
        <w:tc>
          <w:tcPr>
            <w:tcW w:w="1653" w:type="dxa"/>
            <w:vAlign w:val="center"/>
            <w:tcMar>
              <w:top w:w="60" w:type="dxa"/>
              <w:left w:w="70" w:type="dxa"/>
              <w:bottom w:w="60" w:type="dxa"/>
              <w:right w:w="70" w:type="dxa"/>
            </w:tcMar>
          </w:tcPr>
          <w:p>
            <w:pPr>
              <w:pStyle w:val="CadEETableStyle"/>
            </w:pPr>
            <w:r>
              <w:t>0.450000</w:t>
            </w:r>
          </w:p>
        </w:tc>
        <w:tc>
          <w:tcPr>
            <w:tcW w:w="1653" w:type="dxa"/>
            <w:vAlign w:val="center"/>
            <w:tcMar>
              <w:top w:w="60" w:type="dxa"/>
              <w:left w:w="70" w:type="dxa"/>
              <w:bottom w:w="60" w:type="dxa"/>
              <w:right w:w="70" w:type="dxa"/>
            </w:tcMar>
          </w:tcPr>
          <w:p>
            <w:pPr>
              <w:pStyle w:val="CadEETableStyle"/>
            </w:pPr>
            <w:r>
              <w:t>1</w:t>
            </w:r>
          </w:p>
        </w:tc>
        <w:tc>
          <w:tcPr>
            <w:tcW w:w="1653" w:type="dxa"/>
            <w:vAlign w:val="center"/>
            <w:tcMar>
              <w:top w:w="60" w:type="dxa"/>
              <w:left w:w="70" w:type="dxa"/>
              <w:bottom w:w="60" w:type="dxa"/>
              <w:right w:w="70" w:type="dxa"/>
            </w:tcMar>
          </w:tcPr>
          <w:p>
            <w:pPr>
              <w:pStyle w:val="CadEETableStyle"/>
            </w:pPr>
            <w:r>
              <w:t>4</w:t>
            </w:r>
          </w:p>
        </w:tc>
        <w:tc>
          <w:tcPr>
            <w:tcW w:w="2480" w:type="dxa"/>
            <w:vAlign w:val="center"/>
            <w:tcMar>
              <w:top w:w="60" w:type="dxa"/>
              <w:left w:w="70" w:type="dxa"/>
              <w:bottom w:w="60" w:type="dxa"/>
              <w:right w:w="70" w:type="dxa"/>
            </w:tcMar>
          </w:tcPr>
          <w:p>
            <w:pPr>
              <w:pStyle w:val="CadEETableStyle"/>
            </w:pPr>
            <w:r>
              <w:t>-2.191886</w:t>
            </w:r>
          </w:p>
        </w:tc>
      </w:tr>
      <w:tr>
        <w:tc>
          <w:tcPr>
            <w:tcW w:w="1240" w:type="dxa"/>
            <w:vAlign w:val="center"/>
            <w:tcMar>
              <w:top w:w="60" w:type="dxa"/>
              <w:left w:w="70" w:type="dxa"/>
              <w:bottom w:w="60" w:type="dxa"/>
              <w:right w:w="70" w:type="dxa"/>
            </w:tcMar>
          </w:tcPr>
          <w:p>
            <w:pPr>
              <w:pStyle w:val="CadEETableStyle"/>
            </w:pPr>
            <w:r>
              <w:t>13</w:t>
            </w:r>
          </w:p>
        </w:tc>
        <w:tc>
          <w:tcPr>
            <w:tcW w:w="1653" w:type="dxa"/>
            <w:vAlign w:val="center"/>
            <w:tcMar>
              <w:top w:w="60" w:type="dxa"/>
              <w:left w:w="70" w:type="dxa"/>
              <w:bottom w:w="60" w:type="dxa"/>
              <w:right w:w="70" w:type="dxa"/>
            </w:tcMar>
          </w:tcPr>
          <w:p>
            <w:pPr>
              <w:pStyle w:val="CadEETableStyle"/>
            </w:pPr>
            <w:r>
              <w:t>0.050000</w:t>
            </w:r>
          </w:p>
        </w:tc>
        <w:tc>
          <w:tcPr>
            <w:tcW w:w="1653" w:type="dxa"/>
            <w:vAlign w:val="center"/>
            <w:tcMar>
              <w:top w:w="60" w:type="dxa"/>
              <w:left w:w="70" w:type="dxa"/>
              <w:bottom w:w="60" w:type="dxa"/>
              <w:right w:w="70" w:type="dxa"/>
            </w:tcMar>
          </w:tcPr>
          <w:p>
            <w:pPr>
              <w:pStyle w:val="CadEETableStyle"/>
            </w:pPr>
            <w:r>
              <w:t>0.600000</w:t>
            </w:r>
          </w:p>
        </w:tc>
        <w:tc>
          <w:tcPr>
            <w:tcW w:w="1653" w:type="dxa"/>
            <w:vAlign w:val="center"/>
            <w:tcMar>
              <w:top w:w="60" w:type="dxa"/>
              <w:left w:w="70" w:type="dxa"/>
              <w:bottom w:w="60" w:type="dxa"/>
              <w:right w:w="70" w:type="dxa"/>
            </w:tcMar>
          </w:tcPr>
          <w:p>
            <w:pPr>
              <w:pStyle w:val="CadEETableStyle"/>
            </w:pPr>
            <w:r>
              <w:t>1</w:t>
            </w:r>
          </w:p>
        </w:tc>
        <w:tc>
          <w:tcPr>
            <w:tcW w:w="1653" w:type="dxa"/>
            <w:vAlign w:val="center"/>
            <w:tcMar>
              <w:top w:w="60" w:type="dxa"/>
              <w:left w:w="70" w:type="dxa"/>
              <w:bottom w:w="60" w:type="dxa"/>
              <w:right w:w="70" w:type="dxa"/>
            </w:tcMar>
          </w:tcPr>
          <w:p>
            <w:pPr>
              <w:pStyle w:val="CadEETableStyle"/>
            </w:pPr>
            <w:r>
              <w:t>5</w:t>
            </w:r>
          </w:p>
        </w:tc>
        <w:tc>
          <w:tcPr>
            <w:tcW w:w="2480" w:type="dxa"/>
            <w:vAlign w:val="center"/>
            <w:tcMar>
              <w:top w:w="60" w:type="dxa"/>
              <w:left w:w="70" w:type="dxa"/>
              <w:bottom w:w="60" w:type="dxa"/>
              <w:right w:w="70" w:type="dxa"/>
            </w:tcMar>
          </w:tcPr>
          <w:p>
            <w:pPr>
              <w:pStyle w:val="CadEETableStyle"/>
            </w:pPr>
            <w:r>
              <w:t>-1.629396</w:t>
            </w:r>
          </w:p>
        </w:tc>
      </w:tr>
      <w:tr>
        <w:tc>
          <w:tcPr>
            <w:tcW w:w="1240" w:type="dxa"/>
            <w:vAlign w:val="center"/>
            <w:tcMar>
              <w:top w:w="60" w:type="dxa"/>
              <w:left w:w="70" w:type="dxa"/>
              <w:bottom w:w="60" w:type="dxa"/>
              <w:right w:w="70" w:type="dxa"/>
            </w:tcMar>
          </w:tcPr>
          <w:p>
            <w:pPr>
              <w:pStyle w:val="CadEETableStyle"/>
            </w:pPr>
            <w:r>
              <w:t>14</w:t>
            </w:r>
          </w:p>
        </w:tc>
        <w:tc>
          <w:tcPr>
            <w:tcW w:w="1653" w:type="dxa"/>
            <w:vAlign w:val="center"/>
            <w:tcMar>
              <w:top w:w="60" w:type="dxa"/>
              <w:left w:w="70" w:type="dxa"/>
              <w:bottom w:w="60" w:type="dxa"/>
              <w:right w:w="70" w:type="dxa"/>
            </w:tcMar>
          </w:tcPr>
          <w:p>
            <w:pPr>
              <w:pStyle w:val="CadEETableStyle"/>
            </w:pPr>
            <w:r>
              <w:t>0.050000</w:t>
            </w:r>
          </w:p>
        </w:tc>
        <w:tc>
          <w:tcPr>
            <w:tcW w:w="1653" w:type="dxa"/>
            <w:vAlign w:val="center"/>
            <w:tcMar>
              <w:top w:w="60" w:type="dxa"/>
              <w:left w:w="70" w:type="dxa"/>
              <w:bottom w:w="60" w:type="dxa"/>
              <w:right w:w="70" w:type="dxa"/>
            </w:tcMar>
          </w:tcPr>
          <w:p>
            <w:pPr>
              <w:pStyle w:val="CadEETableStyle"/>
            </w:pPr>
            <w:r>
              <w:t>0.750000</w:t>
            </w:r>
          </w:p>
        </w:tc>
        <w:tc>
          <w:tcPr>
            <w:tcW w:w="1653" w:type="dxa"/>
            <w:vAlign w:val="center"/>
            <w:tcMar>
              <w:top w:w="60" w:type="dxa"/>
              <w:left w:w="70" w:type="dxa"/>
              <w:bottom w:w="60" w:type="dxa"/>
              <w:right w:w="70" w:type="dxa"/>
            </w:tcMar>
          </w:tcPr>
          <w:p>
            <w:pPr>
              <w:pStyle w:val="CadEETableStyle"/>
            </w:pPr>
            <w:r>
              <w:t>1</w:t>
            </w:r>
          </w:p>
        </w:tc>
        <w:tc>
          <w:tcPr>
            <w:tcW w:w="1653" w:type="dxa"/>
            <w:vAlign w:val="center"/>
            <w:tcMar>
              <w:top w:w="60" w:type="dxa"/>
              <w:left w:w="70" w:type="dxa"/>
              <w:bottom w:w="60" w:type="dxa"/>
              <w:right w:w="70" w:type="dxa"/>
            </w:tcMar>
          </w:tcPr>
          <w:p>
            <w:pPr>
              <w:pStyle w:val="CadEETableStyle"/>
            </w:pPr>
            <w:r>
              <w:t>6</w:t>
            </w:r>
          </w:p>
        </w:tc>
        <w:tc>
          <w:tcPr>
            <w:tcW w:w="2480" w:type="dxa"/>
            <w:vAlign w:val="center"/>
            <w:tcMar>
              <w:top w:w="60" w:type="dxa"/>
              <w:left w:w="70" w:type="dxa"/>
              <w:bottom w:w="60" w:type="dxa"/>
              <w:right w:w="70" w:type="dxa"/>
            </w:tcMar>
          </w:tcPr>
          <w:p>
            <w:pPr>
              <w:pStyle w:val="CadEETableStyle"/>
            </w:pPr>
            <w:r>
              <w:t>-2.096405</w:t>
            </w:r>
          </w:p>
        </w:tc>
      </w:tr>
      <w:tr>
        <w:tc>
          <w:tcPr>
            <w:tcW w:w="1240" w:type="dxa"/>
            <w:vAlign w:val="center"/>
            <w:tcMar>
              <w:top w:w="60" w:type="dxa"/>
              <w:left w:w="70" w:type="dxa"/>
              <w:bottom w:w="60" w:type="dxa"/>
              <w:right w:w="70" w:type="dxa"/>
            </w:tcMar>
          </w:tcPr>
          <w:p>
            <w:pPr>
              <w:pStyle w:val="CadEETableStyle"/>
            </w:pPr>
            <w:r>
              <w:t>15</w:t>
            </w:r>
          </w:p>
        </w:tc>
        <w:tc>
          <w:tcPr>
            <w:tcW w:w="1653" w:type="dxa"/>
            <w:vAlign w:val="center"/>
            <w:tcMar>
              <w:top w:w="60" w:type="dxa"/>
              <w:left w:w="70" w:type="dxa"/>
              <w:bottom w:w="60" w:type="dxa"/>
              <w:right w:w="70" w:type="dxa"/>
            </w:tcMar>
          </w:tcPr>
          <w:p>
            <w:pPr>
              <w:pStyle w:val="CadEETableStyle"/>
            </w:pPr>
            <w:r>
              <w:t>0.050000</w:t>
            </w:r>
          </w:p>
        </w:tc>
        <w:tc>
          <w:tcPr>
            <w:tcW w:w="1653" w:type="dxa"/>
            <w:vAlign w:val="center"/>
            <w:tcMar>
              <w:top w:w="60" w:type="dxa"/>
              <w:left w:w="70" w:type="dxa"/>
              <w:bottom w:w="60" w:type="dxa"/>
              <w:right w:w="70" w:type="dxa"/>
            </w:tcMar>
          </w:tcPr>
          <w:p>
            <w:pPr>
              <w:pStyle w:val="CadEETableStyle"/>
            </w:pPr>
            <w:r>
              <w:t>0.800000</w:t>
            </w:r>
          </w:p>
        </w:tc>
        <w:tc>
          <w:tcPr>
            <w:tcW w:w="1653" w:type="dxa"/>
            <w:vAlign w:val="center"/>
            <w:tcMar>
              <w:top w:w="60" w:type="dxa"/>
              <w:left w:w="70" w:type="dxa"/>
              <w:bottom w:w="60" w:type="dxa"/>
              <w:right w:w="70" w:type="dxa"/>
            </w:tcMar>
          </w:tcPr>
          <w:p>
            <w:pPr>
              <w:pStyle w:val="CadEETableStyle"/>
            </w:pPr>
            <w:r>
              <w:t>1</w:t>
            </w:r>
          </w:p>
        </w:tc>
        <w:tc>
          <w:tcPr>
            <w:tcW w:w="1653" w:type="dxa"/>
            <w:vAlign w:val="center"/>
            <w:tcMar>
              <w:top w:w="60" w:type="dxa"/>
              <w:left w:w="70" w:type="dxa"/>
              <w:bottom w:w="60" w:type="dxa"/>
              <w:right w:w="70" w:type="dxa"/>
            </w:tcMar>
          </w:tcPr>
          <w:p>
            <w:pPr>
              <w:pStyle w:val="CadEETableStyle"/>
            </w:pPr>
            <w:r>
              <w:t>7</w:t>
            </w:r>
          </w:p>
        </w:tc>
        <w:tc>
          <w:tcPr>
            <w:tcW w:w="2480" w:type="dxa"/>
            <w:vAlign w:val="center"/>
            <w:tcMar>
              <w:top w:w="60" w:type="dxa"/>
              <w:left w:w="70" w:type="dxa"/>
              <w:bottom w:w="60" w:type="dxa"/>
              <w:right w:w="70" w:type="dxa"/>
            </w:tcMar>
          </w:tcPr>
          <w:p>
            <w:pPr>
              <w:pStyle w:val="CadEETableStyle"/>
            </w:pPr>
            <w:r>
              <w:t>-2.512783</w:t>
            </w:r>
          </w:p>
        </w:tc>
      </w:tr>
      <w:tr>
        <w:tc>
          <w:tcPr>
            <w:tcW w:w="1240" w:type="dxa"/>
            <w:vAlign w:val="center"/>
            <w:tcMar>
              <w:top w:w="60" w:type="dxa"/>
              <w:left w:w="70" w:type="dxa"/>
              <w:bottom w:w="60" w:type="dxa"/>
              <w:right w:w="70" w:type="dxa"/>
            </w:tcMar>
          </w:tcPr>
          <w:p>
            <w:pPr>
              <w:pStyle w:val="CadEETableStyle"/>
            </w:pPr>
            <w:r>
              <w:t>16</w:t>
            </w:r>
          </w:p>
        </w:tc>
        <w:tc>
          <w:tcPr>
            <w:tcW w:w="1653" w:type="dxa"/>
            <w:vAlign w:val="center"/>
            <w:tcMar>
              <w:top w:w="60" w:type="dxa"/>
              <w:left w:w="70" w:type="dxa"/>
              <w:bottom w:w="60" w:type="dxa"/>
              <w:right w:w="70" w:type="dxa"/>
            </w:tcMar>
          </w:tcPr>
          <w:p>
            <w:pPr>
              <w:pStyle w:val="CadEETableStyle"/>
            </w:pPr>
            <w:r>
              <w:t>0.100000</w:t>
            </w:r>
          </w:p>
        </w:tc>
        <w:tc>
          <w:tcPr>
            <w:tcW w:w="1653" w:type="dxa"/>
            <w:vAlign w:val="center"/>
            <w:tcMar>
              <w:top w:w="60" w:type="dxa"/>
              <w:left w:w="70" w:type="dxa"/>
              <w:bottom w:w="60" w:type="dxa"/>
              <w:right w:w="70" w:type="dxa"/>
            </w:tcMar>
          </w:tcPr>
          <w:p>
            <w:pPr>
              <w:pStyle w:val="CadEETableStyle"/>
            </w:pPr>
            <w:r>
              <w:t>0.000000</w:t>
            </w:r>
          </w:p>
        </w:tc>
        <w:tc>
          <w:tcPr>
            <w:tcW w:w="1653" w:type="dxa"/>
            <w:vAlign w:val="center"/>
            <w:tcMar>
              <w:top w:w="60" w:type="dxa"/>
              <w:left w:w="70" w:type="dxa"/>
              <w:bottom w:w="60" w:type="dxa"/>
              <w:right w:w="70" w:type="dxa"/>
            </w:tcMar>
          </w:tcPr>
          <w:p>
            <w:pPr>
              <w:pStyle w:val="CadEETableStyle"/>
            </w:pPr>
            <w:r>
              <w:t>2</w:t>
            </w:r>
          </w:p>
        </w:tc>
        <w:tc>
          <w:tcPr>
            <w:tcW w:w="1653" w:type="dxa"/>
            <w:vAlign w:val="center"/>
            <w:tcMar>
              <w:top w:w="60" w:type="dxa"/>
              <w:left w:w="70" w:type="dxa"/>
              <w:bottom w:w="60" w:type="dxa"/>
              <w:right w:w="70" w:type="dxa"/>
            </w:tcMar>
          </w:tcPr>
          <w:p>
            <w:pPr>
              <w:pStyle w:val="CadEETableStyle"/>
            </w:pPr>
            <w:r>
              <w:t>0</w:t>
            </w:r>
          </w:p>
        </w:tc>
        <w:tc>
          <w:tcPr>
            <w:tcW w:w="2480" w:type="dxa"/>
            <w:vAlign w:val="center"/>
            <w:tcMar>
              <w:top w:w="60" w:type="dxa"/>
              <w:left w:w="70" w:type="dxa"/>
              <w:bottom w:w="60" w:type="dxa"/>
              <w:right w:w="70" w:type="dxa"/>
            </w:tcMar>
          </w:tcPr>
          <w:p>
            <w:pPr>
              <w:pStyle w:val="CadEETableStyle"/>
            </w:pPr>
            <w:r>
              <w:t>-21.099567</w:t>
            </w:r>
          </w:p>
        </w:tc>
      </w:tr>
      <w:tr>
        <w:tc>
          <w:tcPr>
            <w:tcW w:w="1240" w:type="dxa"/>
            <w:vAlign w:val="center"/>
            <w:tcMar>
              <w:top w:w="60" w:type="dxa"/>
              <w:left w:w="70" w:type="dxa"/>
              <w:bottom w:w="60" w:type="dxa"/>
              <w:right w:w="70" w:type="dxa"/>
            </w:tcMar>
          </w:tcPr>
          <w:p>
            <w:pPr>
              <w:pStyle w:val="CadEETableStyle"/>
            </w:pPr>
            <w:r>
              <w:t>17</w:t>
            </w:r>
          </w:p>
        </w:tc>
        <w:tc>
          <w:tcPr>
            <w:tcW w:w="1653" w:type="dxa"/>
            <w:vAlign w:val="center"/>
            <w:tcMar>
              <w:top w:w="60" w:type="dxa"/>
              <w:left w:w="70" w:type="dxa"/>
              <w:bottom w:w="60" w:type="dxa"/>
              <w:right w:w="70" w:type="dxa"/>
            </w:tcMar>
          </w:tcPr>
          <w:p>
            <w:pPr>
              <w:pStyle w:val="CadEETableStyle"/>
            </w:pPr>
            <w:r>
              <w:t>0.100000</w:t>
            </w:r>
          </w:p>
        </w:tc>
        <w:tc>
          <w:tcPr>
            <w:tcW w:w="1653" w:type="dxa"/>
            <w:vAlign w:val="center"/>
            <w:tcMar>
              <w:top w:w="60" w:type="dxa"/>
              <w:left w:w="70" w:type="dxa"/>
              <w:bottom w:w="60" w:type="dxa"/>
              <w:right w:w="70" w:type="dxa"/>
            </w:tcMar>
          </w:tcPr>
          <w:p>
            <w:pPr>
              <w:pStyle w:val="CadEETableStyle"/>
            </w:pPr>
            <w:r>
              <w:t>0.050000</w:t>
            </w:r>
          </w:p>
        </w:tc>
        <w:tc>
          <w:tcPr>
            <w:tcW w:w="1653" w:type="dxa"/>
            <w:vAlign w:val="center"/>
            <w:tcMar>
              <w:top w:w="60" w:type="dxa"/>
              <w:left w:w="70" w:type="dxa"/>
              <w:bottom w:w="60" w:type="dxa"/>
              <w:right w:w="70" w:type="dxa"/>
            </w:tcMar>
          </w:tcPr>
          <w:p>
            <w:pPr>
              <w:pStyle w:val="CadEETableStyle"/>
            </w:pPr>
            <w:r>
              <w:t>2</w:t>
            </w:r>
          </w:p>
        </w:tc>
        <w:tc>
          <w:tcPr>
            <w:tcW w:w="1653" w:type="dxa"/>
            <w:vAlign w:val="center"/>
            <w:tcMar>
              <w:top w:w="60" w:type="dxa"/>
              <w:left w:w="70" w:type="dxa"/>
              <w:bottom w:w="60" w:type="dxa"/>
              <w:right w:w="70" w:type="dxa"/>
            </w:tcMar>
          </w:tcPr>
          <w:p>
            <w:pPr>
              <w:pStyle w:val="CadEETableStyle"/>
            </w:pPr>
            <w:r>
              <w:t>1</w:t>
            </w:r>
          </w:p>
        </w:tc>
        <w:tc>
          <w:tcPr>
            <w:tcW w:w="2480" w:type="dxa"/>
            <w:vAlign w:val="center"/>
            <w:tcMar>
              <w:top w:w="60" w:type="dxa"/>
              <w:left w:w="70" w:type="dxa"/>
              <w:bottom w:w="60" w:type="dxa"/>
              <w:right w:w="70" w:type="dxa"/>
            </w:tcMar>
          </w:tcPr>
          <w:p>
            <w:pPr>
              <w:pStyle w:val="CadEETableStyle"/>
            </w:pPr>
            <w:r>
              <w:t>-21.093971</w:t>
            </w:r>
          </w:p>
        </w:tc>
      </w:tr>
      <w:tr>
        <w:tc>
          <w:tcPr>
            <w:tcW w:w="1240" w:type="dxa"/>
            <w:vAlign w:val="center"/>
            <w:tcMar>
              <w:top w:w="60" w:type="dxa"/>
              <w:left w:w="70" w:type="dxa"/>
              <w:bottom w:w="60" w:type="dxa"/>
              <w:right w:w="70" w:type="dxa"/>
            </w:tcMar>
          </w:tcPr>
          <w:p>
            <w:pPr>
              <w:pStyle w:val="CadEETableStyle"/>
            </w:pPr>
            <w:r>
              <w:t>18</w:t>
            </w:r>
          </w:p>
        </w:tc>
        <w:tc>
          <w:tcPr>
            <w:tcW w:w="1653" w:type="dxa"/>
            <w:vAlign w:val="center"/>
            <w:tcMar>
              <w:top w:w="60" w:type="dxa"/>
              <w:left w:w="70" w:type="dxa"/>
              <w:bottom w:w="60" w:type="dxa"/>
              <w:right w:w="70" w:type="dxa"/>
            </w:tcMar>
          </w:tcPr>
          <w:p>
            <w:pPr>
              <w:pStyle w:val="CadEETableStyle"/>
            </w:pPr>
            <w:r>
              <w:t>0.100000</w:t>
            </w:r>
          </w:p>
        </w:tc>
        <w:tc>
          <w:tcPr>
            <w:tcW w:w="1653" w:type="dxa"/>
            <w:vAlign w:val="center"/>
            <w:tcMar>
              <w:top w:w="60" w:type="dxa"/>
              <w:left w:w="70" w:type="dxa"/>
              <w:bottom w:w="60" w:type="dxa"/>
              <w:right w:w="70" w:type="dxa"/>
            </w:tcMar>
          </w:tcPr>
          <w:p>
            <w:pPr>
              <w:pStyle w:val="CadEETableStyle"/>
            </w:pPr>
            <w:r>
              <w:t>0.200000</w:t>
            </w:r>
          </w:p>
        </w:tc>
        <w:tc>
          <w:tcPr>
            <w:tcW w:w="1653" w:type="dxa"/>
            <w:vAlign w:val="center"/>
            <w:tcMar>
              <w:top w:w="60" w:type="dxa"/>
              <w:left w:w="70" w:type="dxa"/>
              <w:bottom w:w="60" w:type="dxa"/>
              <w:right w:w="70" w:type="dxa"/>
            </w:tcMar>
          </w:tcPr>
          <w:p>
            <w:pPr>
              <w:pStyle w:val="CadEETableStyle"/>
            </w:pPr>
            <w:r>
              <w:t>2</w:t>
            </w:r>
          </w:p>
        </w:tc>
        <w:tc>
          <w:tcPr>
            <w:tcW w:w="1653" w:type="dxa"/>
            <w:vAlign w:val="center"/>
            <w:tcMar>
              <w:top w:w="60" w:type="dxa"/>
              <w:left w:w="70" w:type="dxa"/>
              <w:bottom w:w="60" w:type="dxa"/>
              <w:right w:w="70" w:type="dxa"/>
            </w:tcMar>
          </w:tcPr>
          <w:p>
            <w:pPr>
              <w:pStyle w:val="CadEETableStyle"/>
            </w:pPr>
            <w:r>
              <w:t>2</w:t>
            </w:r>
          </w:p>
        </w:tc>
        <w:tc>
          <w:tcPr>
            <w:tcW w:w="2480" w:type="dxa"/>
            <w:vAlign w:val="center"/>
            <w:tcMar>
              <w:top w:w="60" w:type="dxa"/>
              <w:left w:w="70" w:type="dxa"/>
              <w:bottom w:w="60" w:type="dxa"/>
              <w:right w:w="70" w:type="dxa"/>
            </w:tcMar>
          </w:tcPr>
          <w:p>
            <w:pPr>
              <w:pStyle w:val="CadEETableStyle"/>
            </w:pPr>
            <w:r>
              <w:t>-21.071296</w:t>
            </w:r>
          </w:p>
        </w:tc>
      </w:tr>
      <w:tr>
        <w:tc>
          <w:tcPr>
            <w:tcW w:w="1240" w:type="dxa"/>
            <w:vAlign w:val="center"/>
            <w:tcMar>
              <w:top w:w="60" w:type="dxa"/>
              <w:left w:w="70" w:type="dxa"/>
              <w:bottom w:w="60" w:type="dxa"/>
              <w:right w:w="70" w:type="dxa"/>
            </w:tcMar>
          </w:tcPr>
          <w:p>
            <w:pPr>
              <w:pStyle w:val="CadEETableStyle"/>
            </w:pPr>
            <w:r>
              <w:t>19</w:t>
            </w:r>
          </w:p>
        </w:tc>
        <w:tc>
          <w:tcPr>
            <w:tcW w:w="1653" w:type="dxa"/>
            <w:vAlign w:val="center"/>
            <w:tcMar>
              <w:top w:w="60" w:type="dxa"/>
              <w:left w:w="70" w:type="dxa"/>
              <w:bottom w:w="60" w:type="dxa"/>
              <w:right w:w="70" w:type="dxa"/>
            </w:tcMar>
          </w:tcPr>
          <w:p>
            <w:pPr>
              <w:pStyle w:val="CadEETableStyle"/>
            </w:pPr>
            <w:r>
              <w:t>0.100000</w:t>
            </w:r>
          </w:p>
        </w:tc>
        <w:tc>
          <w:tcPr>
            <w:tcW w:w="1653" w:type="dxa"/>
            <w:vAlign w:val="center"/>
            <w:tcMar>
              <w:top w:w="60" w:type="dxa"/>
              <w:left w:w="70" w:type="dxa"/>
              <w:bottom w:w="60" w:type="dxa"/>
              <w:right w:w="70" w:type="dxa"/>
            </w:tcMar>
          </w:tcPr>
          <w:p>
            <w:pPr>
              <w:pStyle w:val="CadEETableStyle"/>
            </w:pPr>
            <w:r>
              <w:t>0.350000</w:t>
            </w:r>
          </w:p>
        </w:tc>
        <w:tc>
          <w:tcPr>
            <w:tcW w:w="1653" w:type="dxa"/>
            <w:vAlign w:val="center"/>
            <w:tcMar>
              <w:top w:w="60" w:type="dxa"/>
              <w:left w:w="70" w:type="dxa"/>
              <w:bottom w:w="60" w:type="dxa"/>
              <w:right w:w="70" w:type="dxa"/>
            </w:tcMar>
          </w:tcPr>
          <w:p>
            <w:pPr>
              <w:pStyle w:val="CadEETableStyle"/>
            </w:pPr>
            <w:r>
              <w:t>2</w:t>
            </w:r>
          </w:p>
        </w:tc>
        <w:tc>
          <w:tcPr>
            <w:tcW w:w="1653" w:type="dxa"/>
            <w:vAlign w:val="center"/>
            <w:tcMar>
              <w:top w:w="60" w:type="dxa"/>
              <w:left w:w="70" w:type="dxa"/>
              <w:bottom w:w="60" w:type="dxa"/>
              <w:right w:w="70" w:type="dxa"/>
            </w:tcMar>
          </w:tcPr>
          <w:p>
            <w:pPr>
              <w:pStyle w:val="CadEETableStyle"/>
            </w:pPr>
            <w:r>
              <w:t>3</w:t>
            </w:r>
          </w:p>
        </w:tc>
        <w:tc>
          <w:tcPr>
            <w:tcW w:w="2480" w:type="dxa"/>
            <w:vAlign w:val="center"/>
            <w:tcMar>
              <w:top w:w="60" w:type="dxa"/>
              <w:left w:w="70" w:type="dxa"/>
              <w:bottom w:w="60" w:type="dxa"/>
              <w:right w:w="70" w:type="dxa"/>
            </w:tcMar>
          </w:tcPr>
          <w:p>
            <w:pPr>
              <w:pStyle w:val="CadEETableStyle"/>
            </w:pPr>
            <w:r>
              <w:t>-21.094854</w:t>
            </w:r>
          </w:p>
        </w:tc>
      </w:tr>
      <w:tr>
        <w:tc>
          <w:tcPr>
            <w:tcW w:w="1240" w:type="dxa"/>
            <w:vAlign w:val="center"/>
            <w:tcMar>
              <w:top w:w="60" w:type="dxa"/>
              <w:left w:w="70" w:type="dxa"/>
              <w:bottom w:w="60" w:type="dxa"/>
              <w:right w:w="70" w:type="dxa"/>
            </w:tcMar>
          </w:tcPr>
          <w:p>
            <w:pPr>
              <w:pStyle w:val="CadEETableStyle"/>
            </w:pPr>
            <w:r>
              <w:t>20</w:t>
            </w:r>
          </w:p>
        </w:tc>
        <w:tc>
          <w:tcPr>
            <w:tcW w:w="1653" w:type="dxa"/>
            <w:vAlign w:val="center"/>
            <w:tcMar>
              <w:top w:w="60" w:type="dxa"/>
              <w:left w:w="70" w:type="dxa"/>
              <w:bottom w:w="60" w:type="dxa"/>
              <w:right w:w="70" w:type="dxa"/>
            </w:tcMar>
          </w:tcPr>
          <w:p>
            <w:pPr>
              <w:pStyle w:val="CadEETableStyle"/>
            </w:pPr>
            <w:r>
              <w:t>0.100000</w:t>
            </w:r>
          </w:p>
        </w:tc>
        <w:tc>
          <w:tcPr>
            <w:tcW w:w="1653" w:type="dxa"/>
            <w:vAlign w:val="center"/>
            <w:tcMar>
              <w:top w:w="60" w:type="dxa"/>
              <w:left w:w="70" w:type="dxa"/>
              <w:bottom w:w="60" w:type="dxa"/>
              <w:right w:w="70" w:type="dxa"/>
            </w:tcMar>
          </w:tcPr>
          <w:p>
            <w:pPr>
              <w:pStyle w:val="CadEETableStyle"/>
            </w:pPr>
            <w:r>
              <w:t>0.450000</w:t>
            </w:r>
          </w:p>
        </w:tc>
        <w:tc>
          <w:tcPr>
            <w:tcW w:w="1653" w:type="dxa"/>
            <w:vAlign w:val="center"/>
            <w:tcMar>
              <w:top w:w="60" w:type="dxa"/>
              <w:left w:w="70" w:type="dxa"/>
              <w:bottom w:w="60" w:type="dxa"/>
              <w:right w:w="70" w:type="dxa"/>
            </w:tcMar>
          </w:tcPr>
          <w:p>
            <w:pPr>
              <w:pStyle w:val="CadEETableStyle"/>
            </w:pPr>
            <w:r>
              <w:t>2</w:t>
            </w:r>
          </w:p>
        </w:tc>
        <w:tc>
          <w:tcPr>
            <w:tcW w:w="1653" w:type="dxa"/>
            <w:vAlign w:val="center"/>
            <w:tcMar>
              <w:top w:w="60" w:type="dxa"/>
              <w:left w:w="70" w:type="dxa"/>
              <w:bottom w:w="60" w:type="dxa"/>
              <w:right w:w="70" w:type="dxa"/>
            </w:tcMar>
          </w:tcPr>
          <w:p>
            <w:pPr>
              <w:pStyle w:val="CadEETableStyle"/>
            </w:pPr>
            <w:r>
              <w:t>4</w:t>
            </w:r>
          </w:p>
        </w:tc>
        <w:tc>
          <w:tcPr>
            <w:tcW w:w="2480" w:type="dxa"/>
            <w:vAlign w:val="center"/>
            <w:tcMar>
              <w:top w:w="60" w:type="dxa"/>
              <w:left w:w="70" w:type="dxa"/>
              <w:bottom w:w="60" w:type="dxa"/>
              <w:right w:w="70" w:type="dxa"/>
            </w:tcMar>
          </w:tcPr>
          <w:p>
            <w:pPr>
              <w:pStyle w:val="CadEETableStyle"/>
            </w:pPr>
            <w:r>
              <w:t>-21.094854</w:t>
            </w:r>
          </w:p>
        </w:tc>
      </w:tr>
      <w:tr>
        <w:tc>
          <w:tcPr>
            <w:tcW w:w="1240" w:type="dxa"/>
            <w:vAlign w:val="center"/>
            <w:tcMar>
              <w:top w:w="60" w:type="dxa"/>
              <w:left w:w="70" w:type="dxa"/>
              <w:bottom w:w="60" w:type="dxa"/>
              <w:right w:w="70" w:type="dxa"/>
            </w:tcMar>
          </w:tcPr>
          <w:p>
            <w:pPr>
              <w:pStyle w:val="CadEETableStyle"/>
            </w:pPr>
            <w:r>
              <w:t>21</w:t>
            </w:r>
          </w:p>
        </w:tc>
        <w:tc>
          <w:tcPr>
            <w:tcW w:w="1653" w:type="dxa"/>
            <w:vAlign w:val="center"/>
            <w:tcMar>
              <w:top w:w="60" w:type="dxa"/>
              <w:left w:w="70" w:type="dxa"/>
              <w:bottom w:w="60" w:type="dxa"/>
              <w:right w:w="70" w:type="dxa"/>
            </w:tcMar>
          </w:tcPr>
          <w:p>
            <w:pPr>
              <w:pStyle w:val="CadEETableStyle"/>
            </w:pPr>
            <w:r>
              <w:t>0.100000</w:t>
            </w:r>
          </w:p>
        </w:tc>
        <w:tc>
          <w:tcPr>
            <w:tcW w:w="1653" w:type="dxa"/>
            <w:vAlign w:val="center"/>
            <w:tcMar>
              <w:top w:w="60" w:type="dxa"/>
              <w:left w:w="70" w:type="dxa"/>
              <w:bottom w:w="60" w:type="dxa"/>
              <w:right w:w="70" w:type="dxa"/>
            </w:tcMar>
          </w:tcPr>
          <w:p>
            <w:pPr>
              <w:pStyle w:val="CadEETableStyle"/>
            </w:pPr>
            <w:r>
              <w:t>0.600000</w:t>
            </w:r>
          </w:p>
        </w:tc>
        <w:tc>
          <w:tcPr>
            <w:tcW w:w="1653" w:type="dxa"/>
            <w:vAlign w:val="center"/>
            <w:tcMar>
              <w:top w:w="60" w:type="dxa"/>
              <w:left w:w="70" w:type="dxa"/>
              <w:bottom w:w="60" w:type="dxa"/>
              <w:right w:w="70" w:type="dxa"/>
            </w:tcMar>
          </w:tcPr>
          <w:p>
            <w:pPr>
              <w:pStyle w:val="CadEETableStyle"/>
            </w:pPr>
            <w:r>
              <w:t>2</w:t>
            </w:r>
          </w:p>
        </w:tc>
        <w:tc>
          <w:tcPr>
            <w:tcW w:w="1653" w:type="dxa"/>
            <w:vAlign w:val="center"/>
            <w:tcMar>
              <w:top w:w="60" w:type="dxa"/>
              <w:left w:w="70" w:type="dxa"/>
              <w:bottom w:w="60" w:type="dxa"/>
              <w:right w:w="70" w:type="dxa"/>
            </w:tcMar>
          </w:tcPr>
          <w:p>
            <w:pPr>
              <w:pStyle w:val="CadEETableStyle"/>
            </w:pPr>
            <w:r>
              <w:t>5</w:t>
            </w:r>
          </w:p>
        </w:tc>
        <w:tc>
          <w:tcPr>
            <w:tcW w:w="2480" w:type="dxa"/>
            <w:vAlign w:val="center"/>
            <w:tcMar>
              <w:top w:w="60" w:type="dxa"/>
              <w:left w:w="70" w:type="dxa"/>
              <w:bottom w:w="60" w:type="dxa"/>
              <w:right w:w="70" w:type="dxa"/>
            </w:tcMar>
          </w:tcPr>
          <w:p>
            <w:pPr>
              <w:pStyle w:val="CadEETableStyle"/>
            </w:pPr>
            <w:r>
              <w:t>-21.071296</w:t>
            </w:r>
          </w:p>
        </w:tc>
      </w:tr>
      <w:tr>
        <w:tc>
          <w:tcPr>
            <w:tcW w:w="1240" w:type="dxa"/>
            <w:vAlign w:val="center"/>
            <w:tcMar>
              <w:top w:w="60" w:type="dxa"/>
              <w:left w:w="70" w:type="dxa"/>
              <w:bottom w:w="60" w:type="dxa"/>
              <w:right w:w="70" w:type="dxa"/>
            </w:tcMar>
          </w:tcPr>
          <w:p>
            <w:pPr>
              <w:pStyle w:val="CadEETableStyle"/>
            </w:pPr>
            <w:r>
              <w:t>22</w:t>
            </w:r>
          </w:p>
        </w:tc>
        <w:tc>
          <w:tcPr>
            <w:tcW w:w="1653" w:type="dxa"/>
            <w:vAlign w:val="center"/>
            <w:tcMar>
              <w:top w:w="60" w:type="dxa"/>
              <w:left w:w="70" w:type="dxa"/>
              <w:bottom w:w="60" w:type="dxa"/>
              <w:right w:w="70" w:type="dxa"/>
            </w:tcMar>
          </w:tcPr>
          <w:p>
            <w:pPr>
              <w:pStyle w:val="CadEETableStyle"/>
            </w:pPr>
            <w:r>
              <w:t>0.100000</w:t>
            </w:r>
          </w:p>
        </w:tc>
        <w:tc>
          <w:tcPr>
            <w:tcW w:w="1653" w:type="dxa"/>
            <w:vAlign w:val="center"/>
            <w:tcMar>
              <w:top w:w="60" w:type="dxa"/>
              <w:left w:w="70" w:type="dxa"/>
              <w:bottom w:w="60" w:type="dxa"/>
              <w:right w:w="70" w:type="dxa"/>
            </w:tcMar>
          </w:tcPr>
          <w:p>
            <w:pPr>
              <w:pStyle w:val="CadEETableStyle"/>
            </w:pPr>
            <w:r>
              <w:t>0.750000</w:t>
            </w:r>
          </w:p>
        </w:tc>
        <w:tc>
          <w:tcPr>
            <w:tcW w:w="1653" w:type="dxa"/>
            <w:vAlign w:val="center"/>
            <w:tcMar>
              <w:top w:w="60" w:type="dxa"/>
              <w:left w:w="70" w:type="dxa"/>
              <w:bottom w:w="60" w:type="dxa"/>
              <w:right w:w="70" w:type="dxa"/>
            </w:tcMar>
          </w:tcPr>
          <w:p>
            <w:pPr>
              <w:pStyle w:val="CadEETableStyle"/>
            </w:pPr>
            <w:r>
              <w:t>2</w:t>
            </w:r>
          </w:p>
        </w:tc>
        <w:tc>
          <w:tcPr>
            <w:tcW w:w="1653" w:type="dxa"/>
            <w:vAlign w:val="center"/>
            <w:tcMar>
              <w:top w:w="60" w:type="dxa"/>
              <w:left w:w="70" w:type="dxa"/>
              <w:bottom w:w="60" w:type="dxa"/>
              <w:right w:w="70" w:type="dxa"/>
            </w:tcMar>
          </w:tcPr>
          <w:p>
            <w:pPr>
              <w:pStyle w:val="CadEETableStyle"/>
            </w:pPr>
            <w:r>
              <w:t>6</w:t>
            </w:r>
          </w:p>
        </w:tc>
        <w:tc>
          <w:tcPr>
            <w:tcW w:w="2480" w:type="dxa"/>
            <w:vAlign w:val="center"/>
            <w:tcMar>
              <w:top w:w="60" w:type="dxa"/>
              <w:left w:w="70" w:type="dxa"/>
              <w:bottom w:w="60" w:type="dxa"/>
              <w:right w:w="70" w:type="dxa"/>
            </w:tcMar>
          </w:tcPr>
          <w:p>
            <w:pPr>
              <w:pStyle w:val="CadEETableStyle"/>
            </w:pPr>
            <w:r>
              <w:t>-21.093971</w:t>
            </w:r>
          </w:p>
        </w:tc>
      </w:tr>
      <w:tr>
        <w:tc>
          <w:tcPr>
            <w:tcW w:w="1240" w:type="dxa"/>
            <w:vAlign w:val="center"/>
            <w:tcMar>
              <w:top w:w="60" w:type="dxa"/>
              <w:left w:w="70" w:type="dxa"/>
              <w:bottom w:w="60" w:type="dxa"/>
              <w:right w:w="70" w:type="dxa"/>
            </w:tcMar>
          </w:tcPr>
          <w:p>
            <w:pPr>
              <w:pStyle w:val="CadEETableStyle"/>
            </w:pPr>
            <w:r>
              <w:t>23</w:t>
            </w:r>
          </w:p>
        </w:tc>
        <w:tc>
          <w:tcPr>
            <w:tcW w:w="1653" w:type="dxa"/>
            <w:vAlign w:val="center"/>
            <w:tcMar>
              <w:top w:w="60" w:type="dxa"/>
              <w:left w:w="70" w:type="dxa"/>
              <w:bottom w:w="60" w:type="dxa"/>
              <w:right w:w="70" w:type="dxa"/>
            </w:tcMar>
          </w:tcPr>
          <w:p>
            <w:pPr>
              <w:pStyle w:val="CadEETableStyle"/>
            </w:pPr>
            <w:r>
              <w:t>0.100000</w:t>
            </w:r>
          </w:p>
        </w:tc>
        <w:tc>
          <w:tcPr>
            <w:tcW w:w="1653" w:type="dxa"/>
            <w:vAlign w:val="center"/>
            <w:tcMar>
              <w:top w:w="60" w:type="dxa"/>
              <w:left w:w="70" w:type="dxa"/>
              <w:bottom w:w="60" w:type="dxa"/>
              <w:right w:w="70" w:type="dxa"/>
            </w:tcMar>
          </w:tcPr>
          <w:p>
            <w:pPr>
              <w:pStyle w:val="CadEETableStyle"/>
            </w:pPr>
            <w:r>
              <w:t>0.800000</w:t>
            </w:r>
          </w:p>
        </w:tc>
        <w:tc>
          <w:tcPr>
            <w:tcW w:w="1653" w:type="dxa"/>
            <w:vAlign w:val="center"/>
            <w:tcMar>
              <w:top w:w="60" w:type="dxa"/>
              <w:left w:w="70" w:type="dxa"/>
              <w:bottom w:w="60" w:type="dxa"/>
              <w:right w:w="70" w:type="dxa"/>
            </w:tcMar>
          </w:tcPr>
          <w:p>
            <w:pPr>
              <w:pStyle w:val="CadEETableStyle"/>
            </w:pPr>
            <w:r>
              <w:t>2</w:t>
            </w:r>
          </w:p>
        </w:tc>
        <w:tc>
          <w:tcPr>
            <w:tcW w:w="1653" w:type="dxa"/>
            <w:vAlign w:val="center"/>
            <w:tcMar>
              <w:top w:w="60" w:type="dxa"/>
              <w:left w:w="70" w:type="dxa"/>
              <w:bottom w:w="60" w:type="dxa"/>
              <w:right w:w="70" w:type="dxa"/>
            </w:tcMar>
          </w:tcPr>
          <w:p>
            <w:pPr>
              <w:pStyle w:val="CadEETableStyle"/>
            </w:pPr>
            <w:r>
              <w:t>7</w:t>
            </w:r>
          </w:p>
        </w:tc>
        <w:tc>
          <w:tcPr>
            <w:tcW w:w="2480" w:type="dxa"/>
            <w:vAlign w:val="center"/>
            <w:tcMar>
              <w:top w:w="60" w:type="dxa"/>
              <w:left w:w="70" w:type="dxa"/>
              <w:bottom w:w="60" w:type="dxa"/>
              <w:right w:w="70" w:type="dxa"/>
            </w:tcMar>
          </w:tcPr>
          <w:p>
            <w:pPr>
              <w:pStyle w:val="CadEETableStyle"/>
            </w:pPr>
            <w:r>
              <w:t>-21.099567</w:t>
            </w:r>
          </w:p>
        </w:tc>
      </w:tr>
    </w:tbl>
    <w:p>
      <w:pPr>
        <w:spacing w:before="0" w:after="0" w:line="80" w:lineRule="exact"/>
      </w:pPr>
    </w:p>
    <w:p>
      <w:pPr>
        <w:pStyle w:val="CadEETableCaption"/>
      </w:pPr>
      <w:r>
        <w:t xml:space="preserve">Таблиця №</w:t>
      </w:r>
      <w:bookmarkStart w:id="197" w:name="CadEE_Target_197"/>
      <w:r>
        <w:fldChar w:fldCharType="begin"/>
      </w:r>
      <w:r>
        <w:instrText xml:space="preserve"> SEQ CadEE_Table \* ARABIC </w:instrText>
      </w:r>
      <w:r>
        <w:fldChar w:fldCharType="separate"/>
      </w:r>
      <w:r>
        <w:t xml:space="preserve">1.1.4</w:t>
      </w:r>
      <w:r>
        <w:fldChar w:fldCharType="end"/>
      </w:r>
      <w:bookmarkEnd w:id="197"/>
      <w:r>
        <w:t xml:space="preserve">. Елементи FEM-моделі</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760"/>
        <w:gridCol w:w="1064"/>
        <w:gridCol w:w="760"/>
        <w:gridCol w:w="760"/>
        <w:gridCol w:w="760"/>
        <w:gridCol w:w="760"/>
        <w:gridCol w:w="1064"/>
        <w:gridCol w:w="912"/>
        <w:gridCol w:w="912"/>
        <w:gridCol w:w="912"/>
        <w:gridCol w:w="1672"/>
      </w:tblGrid>
      <w:tr>
        <w:trPr>
          <w:tblHeader/>
        </w:trPr>
        <w:tc>
          <w:tcPr>
            <w:tcW w:w="760" w:type="dxa"/>
            <w:vAlign w:val="center"/>
            <w:tcMar>
              <w:top w:w="60" w:type="dxa"/>
              <w:left w:w="70" w:type="dxa"/>
              <w:bottom w:w="60" w:type="dxa"/>
              <w:right w:w="70" w:type="dxa"/>
            </w:tcMar>
            <w:shd w:val="clear" w:color="auto" w:fill="EDEDED"/>
          </w:tcPr>
          <w:p>
            <w:pPr>
              <w:pStyle w:val="CadEETableHeadStyle"/>
            </w:pPr>
            <w:r>
              <w:rPr>
                <w:b/>
              </w:rPr>
              <w:t>№</w:t>
            </w:r>
          </w:p>
        </w:tc>
        <w:tc>
          <w:tcPr>
            <w:tcW w:w="1064" w:type="dxa"/>
            <w:vAlign w:val="center"/>
            <w:tcMar>
              <w:top w:w="60" w:type="dxa"/>
              <w:left w:w="70" w:type="dxa"/>
              <w:bottom w:w="60" w:type="dxa"/>
              <w:right w:w="70" w:type="dxa"/>
            </w:tcMar>
            <w:shd w:val="clear" w:color="auto" w:fill="EDEDED"/>
          </w:tcPr>
          <w:p>
            <w:pPr>
              <w:pStyle w:val="CadEETableHeadStyle"/>
            </w:pPr>
            <w:r>
              <w:rPr>
                <w:b/>
              </w:rPr>
              <w:t>Комірка</w:t>
            </w:r>
          </w:p>
        </w:tc>
        <w:tc>
          <w:tcPr>
            <w:tcW w:w="760" w:type="dxa"/>
            <w:vAlign w:val="center"/>
            <w:tcMar>
              <w:top w:w="60" w:type="dxa"/>
              <w:left w:w="70" w:type="dxa"/>
              <w:bottom w:w="60" w:type="dxa"/>
              <w:right w:w="70" w:type="dxa"/>
            </w:tcMar>
            <w:shd w:val="clear" w:color="auto" w:fill="EDEDED"/>
          </w:tcPr>
          <w:p>
            <w:pPr>
              <w:pStyle w:val="CadEETableHeadStyle"/>
            </w:pPr>
            <w:r>
              <w:rPr>
                <w:b/>
              </w:rPr>
              <w:t>X1</w:t>
            </w:r>
          </w:p>
        </w:tc>
        <w:tc>
          <w:tcPr>
            <w:tcW w:w="760" w:type="dxa"/>
            <w:vAlign w:val="center"/>
            <w:tcMar>
              <w:top w:w="60" w:type="dxa"/>
              <w:left w:w="70" w:type="dxa"/>
              <w:bottom w:w="60" w:type="dxa"/>
              <w:right w:w="70" w:type="dxa"/>
            </w:tcMar>
            <w:shd w:val="clear" w:color="auto" w:fill="EDEDED"/>
          </w:tcPr>
          <w:p>
            <w:pPr>
              <w:pStyle w:val="CadEETableHeadStyle"/>
            </w:pPr>
            <w:r>
              <w:rPr>
                <w:b/>
              </w:rPr>
              <w:t>Y1</w:t>
            </w:r>
          </w:p>
        </w:tc>
        <w:tc>
          <w:tcPr>
            <w:tcW w:w="760" w:type="dxa"/>
            <w:vAlign w:val="center"/>
            <w:tcMar>
              <w:top w:w="60" w:type="dxa"/>
              <w:left w:w="70" w:type="dxa"/>
              <w:bottom w:w="60" w:type="dxa"/>
              <w:right w:w="70" w:type="dxa"/>
            </w:tcMar>
            <w:shd w:val="clear" w:color="auto" w:fill="EDEDED"/>
          </w:tcPr>
          <w:p>
            <w:pPr>
              <w:pStyle w:val="CadEETableHeadStyle"/>
            </w:pPr>
            <w:r>
              <w:rPr>
                <w:b/>
              </w:rPr>
              <w:t>X2</w:t>
            </w:r>
          </w:p>
        </w:tc>
        <w:tc>
          <w:tcPr>
            <w:tcW w:w="760" w:type="dxa"/>
            <w:vAlign w:val="center"/>
            <w:tcMar>
              <w:top w:w="60" w:type="dxa"/>
              <w:left w:w="70" w:type="dxa"/>
              <w:bottom w:w="60" w:type="dxa"/>
              <w:right w:w="70" w:type="dxa"/>
            </w:tcMar>
            <w:shd w:val="clear" w:color="auto" w:fill="EDEDED"/>
          </w:tcPr>
          <w:p>
            <w:pPr>
              <w:pStyle w:val="CadEETableHeadStyle"/>
            </w:pPr>
            <w:r>
              <w:rPr>
                <w:b/>
              </w:rPr>
              <w:t>Y2</w:t>
            </w:r>
          </w:p>
        </w:tc>
        <w:tc>
          <w:tcPr>
            <w:tcW w:w="1064" w:type="dxa"/>
            <w:vAlign w:val="center"/>
            <w:tcMar>
              <w:top w:w="60" w:type="dxa"/>
              <w:left w:w="70" w:type="dxa"/>
              <w:bottom w:w="60" w:type="dxa"/>
              <w:right w:w="70" w:type="dxa"/>
            </w:tcMar>
            <w:shd w:val="clear" w:color="auto" w:fill="EDEDED"/>
          </w:tcPr>
          <w:p>
            <w:pPr>
              <w:pStyle w:val="CadEETableHeadStyle"/>
            </w:pPr>
            <w:r>
              <w:rPr>
                <w:b/>
              </w:rPr>
              <w:t>|Q|, Вт/м²</w:t>
            </w:r>
          </w:p>
        </w:tc>
        <w:tc>
          <w:tcPr>
            <w:tcW w:w="912" w:type="dxa"/>
            <w:vAlign w:val="center"/>
            <w:tcMar>
              <w:top w:w="60" w:type="dxa"/>
              <w:left w:w="70" w:type="dxa"/>
              <w:bottom w:w="60" w:type="dxa"/>
              <w:right w:w="70" w:type="dxa"/>
            </w:tcMar>
            <w:shd w:val="clear" w:color="auto" w:fill="EDEDED"/>
          </w:tcPr>
          <w:p>
            <w:pPr>
              <w:pStyle w:val="CadEETableHeadStyle"/>
            </w:pPr>
            <w:r>
              <w:rPr>
                <w:b/>
              </w:rPr>
              <w:t>L_int, м</w:t>
            </w:r>
          </w:p>
        </w:tc>
        <w:tc>
          <w:tcPr>
            <w:tcW w:w="912" w:type="dxa"/>
            <w:vAlign w:val="center"/>
            <w:tcMar>
              <w:top w:w="60" w:type="dxa"/>
              <w:left w:w="70" w:type="dxa"/>
              <w:bottom w:w="60" w:type="dxa"/>
              <w:right w:w="70" w:type="dxa"/>
            </w:tcMar>
            <w:shd w:val="clear" w:color="auto" w:fill="EDEDED"/>
          </w:tcPr>
          <w:p>
            <w:pPr>
              <w:pStyle w:val="CadEETableHeadStyle"/>
            </w:pPr>
            <w:r>
              <w:rPr>
                <w:b/>
              </w:rPr>
              <w:t>L_ext, м</w:t>
            </w:r>
          </w:p>
        </w:tc>
        <w:tc>
          <w:tcPr>
            <w:tcW w:w="912" w:type="dxa"/>
            <w:vAlign w:val="center"/>
            <w:tcMar>
              <w:top w:w="60" w:type="dxa"/>
              <w:left w:w="70" w:type="dxa"/>
              <w:bottom w:w="60" w:type="dxa"/>
              <w:right w:w="70" w:type="dxa"/>
            </w:tcMar>
            <w:shd w:val="clear" w:color="auto" w:fill="EDEDED"/>
          </w:tcPr>
          <w:p>
            <w:pPr>
              <w:pStyle w:val="CadEETableHeadStyle"/>
            </w:pPr>
            <w:r>
              <w:rPr>
                <w:b/>
              </w:rPr>
              <w:t>Грані</w:t>
            </w:r>
          </w:p>
        </w:tc>
        <w:tc>
          <w:tcPr>
            <w:tcW w:w="1672" w:type="dxa"/>
            <w:vAlign w:val="center"/>
            <w:tcMar>
              <w:top w:w="60" w:type="dxa"/>
              <w:left w:w="70" w:type="dxa"/>
              <w:bottom w:w="60" w:type="dxa"/>
              <w:right w:w="70" w:type="dxa"/>
            </w:tcMar>
            <w:shd w:val="clear" w:color="auto" w:fill="EDEDED"/>
          </w:tcPr>
          <w:p>
            <w:pPr>
              <w:pStyle w:val="CadEETableHeadStyle"/>
            </w:pPr>
            <w:r>
              <w:rPr>
                <w:b/>
              </w:rPr>
              <w:t>Рядки A.0.3</w:t>
            </w:r>
          </w:p>
        </w:tc>
      </w:tr>
      <w:tr>
        <w:tc>
          <w:tcPr>
            <w:tcW w:w="760" w:type="dxa"/>
            <w:vAlign w:val="center"/>
            <w:tcMar>
              <w:top w:w="60" w:type="dxa"/>
              <w:left w:w="70" w:type="dxa"/>
              <w:bottom w:w="60" w:type="dxa"/>
              <w:right w:w="70" w:type="dxa"/>
            </w:tcMar>
          </w:tcPr>
          <w:p>
            <w:pPr>
              <w:pStyle w:val="CadEETableStyle"/>
            </w:pPr>
            <w:r>
              <w:t>0</w:t>
            </w:r>
          </w:p>
        </w:tc>
        <w:tc>
          <w:tcPr>
            <w:tcW w:w="1064" w:type="dxa"/>
            <w:vAlign w:val="center"/>
            <w:tcMar>
              <w:top w:w="60" w:type="dxa"/>
              <w:left w:w="70" w:type="dxa"/>
              <w:bottom w:w="60" w:type="dxa"/>
              <w:right w:w="70" w:type="dxa"/>
            </w:tcMar>
          </w:tcPr>
          <w:p>
            <w:pPr>
              <w:pStyle w:val="CadEETableStyle"/>
            </w:pPr>
            <w:r>
              <w:t>0/0</w:t>
            </w:r>
          </w:p>
        </w:tc>
        <w:tc>
          <w:tcPr>
            <w:tcW w:w="760" w:type="dxa"/>
            <w:vAlign w:val="center"/>
            <w:tcMar>
              <w:top w:w="60" w:type="dxa"/>
              <w:left w:w="70" w:type="dxa"/>
              <w:bottom w:w="60" w:type="dxa"/>
              <w:right w:w="70" w:type="dxa"/>
            </w:tcMar>
          </w:tcPr>
          <w:p>
            <w:pPr>
              <w:pStyle w:val="CadEETableStyle"/>
            </w:pPr>
            <w:r>
              <w:t>0.0000</w:t>
            </w:r>
          </w:p>
        </w:tc>
        <w:tc>
          <w:tcPr>
            <w:tcW w:w="760" w:type="dxa"/>
            <w:vAlign w:val="center"/>
            <w:tcMar>
              <w:top w:w="60" w:type="dxa"/>
              <w:left w:w="70" w:type="dxa"/>
              <w:bottom w:w="60" w:type="dxa"/>
              <w:right w:w="70" w:type="dxa"/>
            </w:tcMar>
          </w:tcPr>
          <w:p>
            <w:pPr>
              <w:pStyle w:val="CadEETableStyle"/>
            </w:pPr>
            <w:r>
              <w:t>0.0000</w:t>
            </w:r>
          </w:p>
        </w:tc>
        <w:tc>
          <w:tcPr>
            <w:tcW w:w="760" w:type="dxa"/>
            <w:vAlign w:val="center"/>
            <w:tcMar>
              <w:top w:w="60" w:type="dxa"/>
              <w:left w:w="70" w:type="dxa"/>
              <w:bottom w:w="60" w:type="dxa"/>
              <w:right w:w="70" w:type="dxa"/>
            </w:tcMar>
          </w:tcPr>
          <w:p>
            <w:pPr>
              <w:pStyle w:val="CadEETableStyle"/>
            </w:pPr>
            <w:r>
              <w:t>0.0500</w:t>
            </w:r>
          </w:p>
        </w:tc>
        <w:tc>
          <w:tcPr>
            <w:tcW w:w="760" w:type="dxa"/>
            <w:vAlign w:val="center"/>
            <w:tcMar>
              <w:top w:w="60" w:type="dxa"/>
              <w:left w:w="70" w:type="dxa"/>
              <w:bottom w:w="60" w:type="dxa"/>
              <w:right w:w="70" w:type="dxa"/>
            </w:tcMar>
          </w:tcPr>
          <w:p>
            <w:pPr>
              <w:pStyle w:val="CadEETableStyle"/>
            </w:pPr>
            <w:r>
              <w:t>0.0500</w:t>
            </w:r>
          </w:p>
        </w:tc>
        <w:tc>
          <w:tcPr>
            <w:tcW w:w="1064" w:type="dxa"/>
            <w:vAlign w:val="center"/>
            <w:tcMar>
              <w:top w:w="60" w:type="dxa"/>
              <w:left w:w="70" w:type="dxa"/>
              <w:bottom w:w="60" w:type="dxa"/>
              <w:right w:w="70" w:type="dxa"/>
            </w:tcMar>
          </w:tcPr>
          <w:p>
            <w:pPr>
              <w:pStyle w:val="CadEETableStyle"/>
            </w:pPr>
            <w:r>
              <w:t>19.9713</w:t>
            </w:r>
          </w:p>
        </w:tc>
        <w:tc>
          <w:tcPr>
            <w:tcW w:w="912" w:type="dxa"/>
            <w:vAlign w:val="center"/>
            <w:tcMar>
              <w:top w:w="60" w:type="dxa"/>
              <w:left w:w="70" w:type="dxa"/>
              <w:bottom w:w="60" w:type="dxa"/>
              <w:right w:w="70" w:type="dxa"/>
            </w:tcMar>
          </w:tcPr>
          <w:p>
            <w:pPr>
              <w:pStyle w:val="CadEETableStyle"/>
            </w:pPr>
            <w:r>
              <w:t>0.050000</w:t>
            </w:r>
          </w:p>
        </w:tc>
        <w:tc>
          <w:tcPr>
            <w:tcW w:w="912" w:type="dxa"/>
            <w:vAlign w:val="center"/>
            <w:tcMar>
              <w:top w:w="60" w:type="dxa"/>
              <w:left w:w="70" w:type="dxa"/>
              <w:bottom w:w="60" w:type="dxa"/>
              <w:right w:w="70" w:type="dxa"/>
            </w:tcMar>
          </w:tcPr>
          <w:p>
            <w:pPr>
              <w:pStyle w:val="CadEETableStyle"/>
            </w:pPr>
            <w:r>
              <w:t>0.000000</w:t>
            </w:r>
          </w:p>
        </w:tc>
        <w:tc>
          <w:tcPr>
            <w:tcW w:w="912" w:type="dxa"/>
            <w:vAlign w:val="center"/>
            <w:tcMar>
              <w:top w:w="60" w:type="dxa"/>
              <w:left w:w="70" w:type="dxa"/>
              <w:bottom w:w="60" w:type="dxa"/>
              <w:right w:w="70" w:type="dxa"/>
            </w:tcMar>
          </w:tcPr>
          <w:p>
            <w:pPr>
              <w:pStyle w:val="CadEETableStyle"/>
            </w:pPr>
            <w:r>
              <w:t>1</w:t>
            </w:r>
          </w:p>
        </w:tc>
        <w:tc>
          <w:tcPr>
            <w:tcW w:w="1672" w:type="dxa"/>
            <w:vAlign w:val="center"/>
            <w:tcMar>
              <w:top w:w="60" w:type="dxa"/>
              <w:left w:w="70" w:type="dxa"/>
              <w:bottom w:w="60" w:type="dxa"/>
              <w:right w:w="70" w:type="dxa"/>
            </w:tcMar>
          </w:tcPr>
          <w:p>
            <w:pPr>
              <w:pStyle w:val="CadEETableStyle"/>
            </w:pPr>
            <w:r>
              <w:t>A.0.3-1</w:t>
            </w:r>
          </w:p>
        </w:tc>
      </w:tr>
      <w:tr>
        <w:tc>
          <w:tcPr>
            <w:tcW w:w="760" w:type="dxa"/>
            <w:vAlign w:val="center"/>
            <w:tcMar>
              <w:top w:w="60" w:type="dxa"/>
              <w:left w:w="70" w:type="dxa"/>
              <w:bottom w:w="60" w:type="dxa"/>
              <w:right w:w="70" w:type="dxa"/>
            </w:tcMar>
          </w:tcPr>
          <w:p>
            <w:pPr>
              <w:pStyle w:val="CadEETableStyle"/>
            </w:pPr>
            <w:r>
              <w:t>1</w:t>
            </w:r>
          </w:p>
        </w:tc>
        <w:tc>
          <w:tcPr>
            <w:tcW w:w="1064" w:type="dxa"/>
            <w:vAlign w:val="center"/>
            <w:tcMar>
              <w:top w:w="60" w:type="dxa"/>
              <w:left w:w="70" w:type="dxa"/>
              <w:bottom w:w="60" w:type="dxa"/>
              <w:right w:w="70" w:type="dxa"/>
            </w:tcMar>
          </w:tcPr>
          <w:p>
            <w:pPr>
              <w:pStyle w:val="CadEETableStyle"/>
            </w:pPr>
            <w:r>
              <w:t>0/1</w:t>
            </w:r>
          </w:p>
        </w:tc>
        <w:tc>
          <w:tcPr>
            <w:tcW w:w="760" w:type="dxa"/>
            <w:vAlign w:val="center"/>
            <w:tcMar>
              <w:top w:w="60" w:type="dxa"/>
              <w:left w:w="70" w:type="dxa"/>
              <w:bottom w:w="60" w:type="dxa"/>
              <w:right w:w="70" w:type="dxa"/>
            </w:tcMar>
          </w:tcPr>
          <w:p>
            <w:pPr>
              <w:pStyle w:val="CadEETableStyle"/>
            </w:pPr>
            <w:r>
              <w:t>0.0000</w:t>
            </w:r>
          </w:p>
        </w:tc>
        <w:tc>
          <w:tcPr>
            <w:tcW w:w="760" w:type="dxa"/>
            <w:vAlign w:val="center"/>
            <w:tcMar>
              <w:top w:w="60" w:type="dxa"/>
              <w:left w:w="70" w:type="dxa"/>
              <w:bottom w:w="60" w:type="dxa"/>
              <w:right w:w="70" w:type="dxa"/>
            </w:tcMar>
          </w:tcPr>
          <w:p>
            <w:pPr>
              <w:pStyle w:val="CadEETableStyle"/>
            </w:pPr>
            <w:r>
              <w:t>0.0500</w:t>
            </w:r>
          </w:p>
        </w:tc>
        <w:tc>
          <w:tcPr>
            <w:tcW w:w="760" w:type="dxa"/>
            <w:vAlign w:val="center"/>
            <w:tcMar>
              <w:top w:w="60" w:type="dxa"/>
              <w:left w:w="70" w:type="dxa"/>
              <w:bottom w:w="60" w:type="dxa"/>
              <w:right w:w="70" w:type="dxa"/>
            </w:tcMar>
          </w:tcPr>
          <w:p>
            <w:pPr>
              <w:pStyle w:val="CadEETableStyle"/>
            </w:pPr>
            <w:r>
              <w:t>0.0500</w:t>
            </w:r>
          </w:p>
        </w:tc>
        <w:tc>
          <w:tcPr>
            <w:tcW w:w="760" w:type="dxa"/>
            <w:vAlign w:val="center"/>
            <w:tcMar>
              <w:top w:w="60" w:type="dxa"/>
              <w:left w:w="70" w:type="dxa"/>
              <w:bottom w:w="60" w:type="dxa"/>
              <w:right w:w="70" w:type="dxa"/>
            </w:tcMar>
          </w:tcPr>
          <w:p>
            <w:pPr>
              <w:pStyle w:val="CadEETableStyle"/>
            </w:pPr>
            <w:r>
              <w:t>0.2000</w:t>
            </w:r>
          </w:p>
        </w:tc>
        <w:tc>
          <w:tcPr>
            <w:tcW w:w="1064" w:type="dxa"/>
            <w:vAlign w:val="center"/>
            <w:tcMar>
              <w:top w:w="60" w:type="dxa"/>
              <w:left w:w="70" w:type="dxa"/>
              <w:bottom w:w="60" w:type="dxa"/>
              <w:right w:w="70" w:type="dxa"/>
            </w:tcMar>
          </w:tcPr>
          <w:p>
            <w:pPr>
              <w:pStyle w:val="CadEETableStyle"/>
            </w:pPr>
            <w:r>
              <w:t>21.3573</w:t>
            </w:r>
          </w:p>
        </w:tc>
        <w:tc>
          <w:tcPr>
            <w:tcW w:w="912" w:type="dxa"/>
            <w:vAlign w:val="center"/>
            <w:tcMar>
              <w:top w:w="60" w:type="dxa"/>
              <w:left w:w="70" w:type="dxa"/>
              <w:bottom w:w="60" w:type="dxa"/>
              <w:right w:w="70" w:type="dxa"/>
            </w:tcMar>
          </w:tcPr>
          <w:p>
            <w:pPr>
              <w:pStyle w:val="CadEETableStyle"/>
            </w:pPr>
            <w:r>
              <w:t>0.150000</w:t>
            </w:r>
          </w:p>
        </w:tc>
        <w:tc>
          <w:tcPr>
            <w:tcW w:w="912" w:type="dxa"/>
            <w:vAlign w:val="center"/>
            <w:tcMar>
              <w:top w:w="60" w:type="dxa"/>
              <w:left w:w="70" w:type="dxa"/>
              <w:bottom w:w="60" w:type="dxa"/>
              <w:right w:w="70" w:type="dxa"/>
            </w:tcMar>
          </w:tcPr>
          <w:p>
            <w:pPr>
              <w:pStyle w:val="CadEETableStyle"/>
            </w:pPr>
            <w:r>
              <w:t>0.000000</w:t>
            </w:r>
          </w:p>
        </w:tc>
        <w:tc>
          <w:tcPr>
            <w:tcW w:w="912" w:type="dxa"/>
            <w:vAlign w:val="center"/>
            <w:tcMar>
              <w:top w:w="60" w:type="dxa"/>
              <w:left w:w="70" w:type="dxa"/>
              <w:bottom w:w="60" w:type="dxa"/>
              <w:right w:w="70" w:type="dxa"/>
            </w:tcMar>
          </w:tcPr>
          <w:p>
            <w:pPr>
              <w:pStyle w:val="CadEETableStyle"/>
            </w:pPr>
            <w:r>
              <w:t>1</w:t>
            </w:r>
          </w:p>
        </w:tc>
        <w:tc>
          <w:tcPr>
            <w:tcW w:w="1672" w:type="dxa"/>
            <w:vAlign w:val="center"/>
            <w:tcMar>
              <w:top w:w="60" w:type="dxa"/>
              <w:left w:w="70" w:type="dxa"/>
              <w:bottom w:w="60" w:type="dxa"/>
              <w:right w:w="70" w:type="dxa"/>
            </w:tcMar>
          </w:tcPr>
          <w:p>
            <w:pPr>
              <w:pStyle w:val="CadEETableStyle"/>
            </w:pPr>
            <w:r>
              <w:t>A.0.3-2</w:t>
            </w:r>
          </w:p>
        </w:tc>
      </w:tr>
      <w:tr>
        <w:tc>
          <w:tcPr>
            <w:tcW w:w="760" w:type="dxa"/>
            <w:vAlign w:val="center"/>
            <w:tcMar>
              <w:top w:w="60" w:type="dxa"/>
              <w:left w:w="70" w:type="dxa"/>
              <w:bottom w:w="60" w:type="dxa"/>
              <w:right w:w="70" w:type="dxa"/>
            </w:tcMar>
          </w:tcPr>
          <w:p>
            <w:pPr>
              <w:pStyle w:val="CadEETableStyle"/>
            </w:pPr>
            <w:r>
              <w:t>2</w:t>
            </w:r>
          </w:p>
        </w:tc>
        <w:tc>
          <w:tcPr>
            <w:tcW w:w="1064" w:type="dxa"/>
            <w:vAlign w:val="center"/>
            <w:tcMar>
              <w:top w:w="60" w:type="dxa"/>
              <w:left w:w="70" w:type="dxa"/>
              <w:bottom w:w="60" w:type="dxa"/>
              <w:right w:w="70" w:type="dxa"/>
            </w:tcMar>
          </w:tcPr>
          <w:p>
            <w:pPr>
              <w:pStyle w:val="CadEETableStyle"/>
            </w:pPr>
            <w:r>
              <w:t>0/2</w:t>
            </w:r>
          </w:p>
        </w:tc>
        <w:tc>
          <w:tcPr>
            <w:tcW w:w="760" w:type="dxa"/>
            <w:vAlign w:val="center"/>
            <w:tcMar>
              <w:top w:w="60" w:type="dxa"/>
              <w:left w:w="70" w:type="dxa"/>
              <w:bottom w:w="60" w:type="dxa"/>
              <w:right w:w="70" w:type="dxa"/>
            </w:tcMar>
          </w:tcPr>
          <w:p>
            <w:pPr>
              <w:pStyle w:val="CadEETableStyle"/>
            </w:pPr>
            <w:r>
              <w:t>0.0000</w:t>
            </w:r>
          </w:p>
        </w:tc>
        <w:tc>
          <w:tcPr>
            <w:tcW w:w="760" w:type="dxa"/>
            <w:vAlign w:val="center"/>
            <w:tcMar>
              <w:top w:w="60" w:type="dxa"/>
              <w:left w:w="70" w:type="dxa"/>
              <w:bottom w:w="60" w:type="dxa"/>
              <w:right w:w="70" w:type="dxa"/>
            </w:tcMar>
          </w:tcPr>
          <w:p>
            <w:pPr>
              <w:pStyle w:val="CadEETableStyle"/>
            </w:pPr>
            <w:r>
              <w:t>0.2000</w:t>
            </w:r>
          </w:p>
        </w:tc>
        <w:tc>
          <w:tcPr>
            <w:tcW w:w="760" w:type="dxa"/>
            <w:vAlign w:val="center"/>
            <w:tcMar>
              <w:top w:w="60" w:type="dxa"/>
              <w:left w:w="70" w:type="dxa"/>
              <w:bottom w:w="60" w:type="dxa"/>
              <w:right w:w="70" w:type="dxa"/>
            </w:tcMar>
          </w:tcPr>
          <w:p>
            <w:pPr>
              <w:pStyle w:val="CadEETableStyle"/>
            </w:pPr>
            <w:r>
              <w:t>0.0500</w:t>
            </w:r>
          </w:p>
        </w:tc>
        <w:tc>
          <w:tcPr>
            <w:tcW w:w="760" w:type="dxa"/>
            <w:vAlign w:val="center"/>
            <w:tcMar>
              <w:top w:w="60" w:type="dxa"/>
              <w:left w:w="70" w:type="dxa"/>
              <w:bottom w:w="60" w:type="dxa"/>
              <w:right w:w="70" w:type="dxa"/>
            </w:tcMar>
          </w:tcPr>
          <w:p>
            <w:pPr>
              <w:pStyle w:val="CadEETableStyle"/>
            </w:pPr>
            <w:r>
              <w:t>0.3500</w:t>
            </w:r>
          </w:p>
        </w:tc>
        <w:tc>
          <w:tcPr>
            <w:tcW w:w="1064" w:type="dxa"/>
            <w:vAlign w:val="center"/>
            <w:tcMar>
              <w:top w:w="60" w:type="dxa"/>
              <w:left w:w="70" w:type="dxa"/>
              <w:bottom w:w="60" w:type="dxa"/>
              <w:right w:w="70" w:type="dxa"/>
            </w:tcMar>
          </w:tcPr>
          <w:p>
            <w:pPr>
              <w:pStyle w:val="CadEETableStyle"/>
            </w:pPr>
            <w:r>
              <w:t>21.4341</w:t>
            </w:r>
          </w:p>
        </w:tc>
        <w:tc>
          <w:tcPr>
            <w:tcW w:w="912" w:type="dxa"/>
            <w:vAlign w:val="center"/>
            <w:tcMar>
              <w:top w:w="60" w:type="dxa"/>
              <w:left w:w="70" w:type="dxa"/>
              <w:bottom w:w="60" w:type="dxa"/>
              <w:right w:w="70" w:type="dxa"/>
            </w:tcMar>
          </w:tcPr>
          <w:p>
            <w:pPr>
              <w:pStyle w:val="CadEETableStyle"/>
            </w:pPr>
            <w:r>
              <w:t>0.150000</w:t>
            </w:r>
          </w:p>
        </w:tc>
        <w:tc>
          <w:tcPr>
            <w:tcW w:w="912" w:type="dxa"/>
            <w:vAlign w:val="center"/>
            <w:tcMar>
              <w:top w:w="60" w:type="dxa"/>
              <w:left w:w="70" w:type="dxa"/>
              <w:bottom w:w="60" w:type="dxa"/>
              <w:right w:w="70" w:type="dxa"/>
            </w:tcMar>
          </w:tcPr>
          <w:p>
            <w:pPr>
              <w:pStyle w:val="CadEETableStyle"/>
            </w:pPr>
            <w:r>
              <w:t>0.000000</w:t>
            </w:r>
          </w:p>
        </w:tc>
        <w:tc>
          <w:tcPr>
            <w:tcW w:w="912" w:type="dxa"/>
            <w:vAlign w:val="center"/>
            <w:tcMar>
              <w:top w:w="60" w:type="dxa"/>
              <w:left w:w="70" w:type="dxa"/>
              <w:bottom w:w="60" w:type="dxa"/>
              <w:right w:w="70" w:type="dxa"/>
            </w:tcMar>
          </w:tcPr>
          <w:p>
            <w:pPr>
              <w:pStyle w:val="CadEETableStyle"/>
            </w:pPr>
            <w:r>
              <w:t>1</w:t>
            </w:r>
          </w:p>
        </w:tc>
        <w:tc>
          <w:tcPr>
            <w:tcW w:w="1672" w:type="dxa"/>
            <w:vAlign w:val="center"/>
            <w:tcMar>
              <w:top w:w="60" w:type="dxa"/>
              <w:left w:w="70" w:type="dxa"/>
              <w:bottom w:w="60" w:type="dxa"/>
              <w:right w:w="70" w:type="dxa"/>
            </w:tcMar>
          </w:tcPr>
          <w:p>
            <w:pPr>
              <w:pStyle w:val="CadEETableStyle"/>
            </w:pPr>
            <w:r>
              <w:t>A.0.3-3</w:t>
            </w:r>
          </w:p>
        </w:tc>
      </w:tr>
      <w:tr>
        <w:tc>
          <w:tcPr>
            <w:tcW w:w="760" w:type="dxa"/>
            <w:vAlign w:val="center"/>
            <w:tcMar>
              <w:top w:w="60" w:type="dxa"/>
              <w:left w:w="70" w:type="dxa"/>
              <w:bottom w:w="60" w:type="dxa"/>
              <w:right w:w="70" w:type="dxa"/>
            </w:tcMar>
          </w:tcPr>
          <w:p>
            <w:pPr>
              <w:pStyle w:val="CadEETableStyle"/>
            </w:pPr>
            <w:r>
              <w:t>3</w:t>
            </w:r>
          </w:p>
        </w:tc>
        <w:tc>
          <w:tcPr>
            <w:tcW w:w="1064" w:type="dxa"/>
            <w:vAlign w:val="center"/>
            <w:tcMar>
              <w:top w:w="60" w:type="dxa"/>
              <w:left w:w="70" w:type="dxa"/>
              <w:bottom w:w="60" w:type="dxa"/>
              <w:right w:w="70" w:type="dxa"/>
            </w:tcMar>
          </w:tcPr>
          <w:p>
            <w:pPr>
              <w:pStyle w:val="CadEETableStyle"/>
            </w:pPr>
            <w:r>
              <w:t>0/3</w:t>
            </w:r>
          </w:p>
        </w:tc>
        <w:tc>
          <w:tcPr>
            <w:tcW w:w="760" w:type="dxa"/>
            <w:vAlign w:val="center"/>
            <w:tcMar>
              <w:top w:w="60" w:type="dxa"/>
              <w:left w:w="70" w:type="dxa"/>
              <w:bottom w:w="60" w:type="dxa"/>
              <w:right w:w="70" w:type="dxa"/>
            </w:tcMar>
          </w:tcPr>
          <w:p>
            <w:pPr>
              <w:pStyle w:val="CadEETableStyle"/>
            </w:pPr>
            <w:r>
              <w:t>0.0000</w:t>
            </w:r>
          </w:p>
        </w:tc>
        <w:tc>
          <w:tcPr>
            <w:tcW w:w="760" w:type="dxa"/>
            <w:vAlign w:val="center"/>
            <w:tcMar>
              <w:top w:w="60" w:type="dxa"/>
              <w:left w:w="70" w:type="dxa"/>
              <w:bottom w:w="60" w:type="dxa"/>
              <w:right w:w="70" w:type="dxa"/>
            </w:tcMar>
          </w:tcPr>
          <w:p>
            <w:pPr>
              <w:pStyle w:val="CadEETableStyle"/>
            </w:pPr>
            <w:r>
              <w:t>0.3500</w:t>
            </w:r>
          </w:p>
        </w:tc>
        <w:tc>
          <w:tcPr>
            <w:tcW w:w="760" w:type="dxa"/>
            <w:vAlign w:val="center"/>
            <w:tcMar>
              <w:top w:w="60" w:type="dxa"/>
              <w:left w:w="70" w:type="dxa"/>
              <w:bottom w:w="60" w:type="dxa"/>
              <w:right w:w="70" w:type="dxa"/>
            </w:tcMar>
          </w:tcPr>
          <w:p>
            <w:pPr>
              <w:pStyle w:val="CadEETableStyle"/>
            </w:pPr>
            <w:r>
              <w:t>0.0500</w:t>
            </w:r>
          </w:p>
        </w:tc>
        <w:tc>
          <w:tcPr>
            <w:tcW w:w="760" w:type="dxa"/>
            <w:vAlign w:val="center"/>
            <w:tcMar>
              <w:top w:w="60" w:type="dxa"/>
              <w:left w:w="70" w:type="dxa"/>
              <w:bottom w:w="60" w:type="dxa"/>
              <w:right w:w="70" w:type="dxa"/>
            </w:tcMar>
          </w:tcPr>
          <w:p>
            <w:pPr>
              <w:pStyle w:val="CadEETableStyle"/>
            </w:pPr>
            <w:r>
              <w:t>0.4500</w:t>
            </w:r>
          </w:p>
        </w:tc>
        <w:tc>
          <w:tcPr>
            <w:tcW w:w="1064" w:type="dxa"/>
            <w:vAlign w:val="center"/>
            <w:tcMar>
              <w:top w:w="60" w:type="dxa"/>
              <w:left w:w="70" w:type="dxa"/>
              <w:bottom w:w="60" w:type="dxa"/>
              <w:right w:w="70" w:type="dxa"/>
            </w:tcMar>
          </w:tcPr>
          <w:p>
            <w:pPr>
              <w:pStyle w:val="CadEETableStyle"/>
            </w:pPr>
            <w:r>
              <w:t>19.8146</w:t>
            </w:r>
          </w:p>
        </w:tc>
        <w:tc>
          <w:tcPr>
            <w:tcW w:w="912" w:type="dxa"/>
            <w:vAlign w:val="center"/>
            <w:tcMar>
              <w:top w:w="60" w:type="dxa"/>
              <w:left w:w="70" w:type="dxa"/>
              <w:bottom w:w="60" w:type="dxa"/>
              <w:right w:w="70" w:type="dxa"/>
            </w:tcMar>
          </w:tcPr>
          <w:p>
            <w:pPr>
              <w:pStyle w:val="CadEETableStyle"/>
            </w:pPr>
            <w:r>
              <w:t>0.100000</w:t>
            </w:r>
          </w:p>
        </w:tc>
        <w:tc>
          <w:tcPr>
            <w:tcW w:w="912" w:type="dxa"/>
            <w:vAlign w:val="center"/>
            <w:tcMar>
              <w:top w:w="60" w:type="dxa"/>
              <w:left w:w="70" w:type="dxa"/>
              <w:bottom w:w="60" w:type="dxa"/>
              <w:right w:w="70" w:type="dxa"/>
            </w:tcMar>
          </w:tcPr>
          <w:p>
            <w:pPr>
              <w:pStyle w:val="CadEETableStyle"/>
            </w:pPr>
            <w:r>
              <w:t>0.000000</w:t>
            </w:r>
          </w:p>
        </w:tc>
        <w:tc>
          <w:tcPr>
            <w:tcW w:w="912" w:type="dxa"/>
            <w:vAlign w:val="center"/>
            <w:tcMar>
              <w:top w:w="60" w:type="dxa"/>
              <w:left w:w="70" w:type="dxa"/>
              <w:bottom w:w="60" w:type="dxa"/>
              <w:right w:w="70" w:type="dxa"/>
            </w:tcMar>
          </w:tcPr>
          <w:p>
            <w:pPr>
              <w:pStyle w:val="CadEETableStyle"/>
            </w:pPr>
            <w:r>
              <w:t>1</w:t>
            </w:r>
          </w:p>
        </w:tc>
        <w:tc>
          <w:tcPr>
            <w:tcW w:w="1672" w:type="dxa"/>
            <w:vAlign w:val="center"/>
            <w:tcMar>
              <w:top w:w="60" w:type="dxa"/>
              <w:left w:w="70" w:type="dxa"/>
              <w:bottom w:w="60" w:type="dxa"/>
              <w:right w:w="70" w:type="dxa"/>
            </w:tcMar>
          </w:tcPr>
          <w:p>
            <w:pPr>
              <w:pStyle w:val="CadEETableStyle"/>
            </w:pPr>
            <w:r>
              <w:t>A.0.3-4</w:t>
            </w:r>
          </w:p>
        </w:tc>
      </w:tr>
      <w:tr>
        <w:tc>
          <w:tcPr>
            <w:tcW w:w="760" w:type="dxa"/>
            <w:vAlign w:val="center"/>
            <w:tcMar>
              <w:top w:w="60" w:type="dxa"/>
              <w:left w:w="70" w:type="dxa"/>
              <w:bottom w:w="60" w:type="dxa"/>
              <w:right w:w="70" w:type="dxa"/>
            </w:tcMar>
          </w:tcPr>
          <w:p>
            <w:pPr>
              <w:pStyle w:val="CadEETableStyle"/>
            </w:pPr>
            <w:r>
              <w:t>4</w:t>
            </w:r>
          </w:p>
        </w:tc>
        <w:tc>
          <w:tcPr>
            <w:tcW w:w="1064" w:type="dxa"/>
            <w:vAlign w:val="center"/>
            <w:tcMar>
              <w:top w:w="60" w:type="dxa"/>
              <w:left w:w="70" w:type="dxa"/>
              <w:bottom w:w="60" w:type="dxa"/>
              <w:right w:w="70" w:type="dxa"/>
            </w:tcMar>
          </w:tcPr>
          <w:p>
            <w:pPr>
              <w:pStyle w:val="CadEETableStyle"/>
            </w:pPr>
            <w:r>
              <w:t>0/4</w:t>
            </w:r>
          </w:p>
        </w:tc>
        <w:tc>
          <w:tcPr>
            <w:tcW w:w="760" w:type="dxa"/>
            <w:vAlign w:val="center"/>
            <w:tcMar>
              <w:top w:w="60" w:type="dxa"/>
              <w:left w:w="70" w:type="dxa"/>
              <w:bottom w:w="60" w:type="dxa"/>
              <w:right w:w="70" w:type="dxa"/>
            </w:tcMar>
          </w:tcPr>
          <w:p>
            <w:pPr>
              <w:pStyle w:val="CadEETableStyle"/>
            </w:pPr>
            <w:r>
              <w:t>0.0000</w:t>
            </w:r>
          </w:p>
        </w:tc>
        <w:tc>
          <w:tcPr>
            <w:tcW w:w="760" w:type="dxa"/>
            <w:vAlign w:val="center"/>
            <w:tcMar>
              <w:top w:w="60" w:type="dxa"/>
              <w:left w:w="70" w:type="dxa"/>
              <w:bottom w:w="60" w:type="dxa"/>
              <w:right w:w="70" w:type="dxa"/>
            </w:tcMar>
          </w:tcPr>
          <w:p>
            <w:pPr>
              <w:pStyle w:val="CadEETableStyle"/>
            </w:pPr>
            <w:r>
              <w:t>0.4500</w:t>
            </w:r>
          </w:p>
        </w:tc>
        <w:tc>
          <w:tcPr>
            <w:tcW w:w="760" w:type="dxa"/>
            <w:vAlign w:val="center"/>
            <w:tcMar>
              <w:top w:w="60" w:type="dxa"/>
              <w:left w:w="70" w:type="dxa"/>
              <w:bottom w:w="60" w:type="dxa"/>
              <w:right w:w="70" w:type="dxa"/>
            </w:tcMar>
          </w:tcPr>
          <w:p>
            <w:pPr>
              <w:pStyle w:val="CadEETableStyle"/>
            </w:pPr>
            <w:r>
              <w:t>0.0500</w:t>
            </w:r>
          </w:p>
        </w:tc>
        <w:tc>
          <w:tcPr>
            <w:tcW w:w="760" w:type="dxa"/>
            <w:vAlign w:val="center"/>
            <w:tcMar>
              <w:top w:w="60" w:type="dxa"/>
              <w:left w:w="70" w:type="dxa"/>
              <w:bottom w:w="60" w:type="dxa"/>
              <w:right w:w="70" w:type="dxa"/>
            </w:tcMar>
          </w:tcPr>
          <w:p>
            <w:pPr>
              <w:pStyle w:val="CadEETableStyle"/>
            </w:pPr>
            <w:r>
              <w:t>0.6000</w:t>
            </w:r>
          </w:p>
        </w:tc>
        <w:tc>
          <w:tcPr>
            <w:tcW w:w="1064" w:type="dxa"/>
            <w:vAlign w:val="center"/>
            <w:tcMar>
              <w:top w:w="60" w:type="dxa"/>
              <w:left w:w="70" w:type="dxa"/>
              <w:bottom w:w="60" w:type="dxa"/>
              <w:right w:w="70" w:type="dxa"/>
            </w:tcMar>
          </w:tcPr>
          <w:p>
            <w:pPr>
              <w:pStyle w:val="CadEETableStyle"/>
            </w:pPr>
            <w:r>
              <w:t>21.4341</w:t>
            </w:r>
          </w:p>
        </w:tc>
        <w:tc>
          <w:tcPr>
            <w:tcW w:w="912" w:type="dxa"/>
            <w:vAlign w:val="center"/>
            <w:tcMar>
              <w:top w:w="60" w:type="dxa"/>
              <w:left w:w="70" w:type="dxa"/>
              <w:bottom w:w="60" w:type="dxa"/>
              <w:right w:w="70" w:type="dxa"/>
            </w:tcMar>
          </w:tcPr>
          <w:p>
            <w:pPr>
              <w:pStyle w:val="CadEETableStyle"/>
            </w:pPr>
            <w:r>
              <w:t>0.150000</w:t>
            </w:r>
          </w:p>
        </w:tc>
        <w:tc>
          <w:tcPr>
            <w:tcW w:w="912" w:type="dxa"/>
            <w:vAlign w:val="center"/>
            <w:tcMar>
              <w:top w:w="60" w:type="dxa"/>
              <w:left w:w="70" w:type="dxa"/>
              <w:bottom w:w="60" w:type="dxa"/>
              <w:right w:w="70" w:type="dxa"/>
            </w:tcMar>
          </w:tcPr>
          <w:p>
            <w:pPr>
              <w:pStyle w:val="CadEETableStyle"/>
            </w:pPr>
            <w:r>
              <w:t>0.000000</w:t>
            </w:r>
          </w:p>
        </w:tc>
        <w:tc>
          <w:tcPr>
            <w:tcW w:w="912" w:type="dxa"/>
            <w:vAlign w:val="center"/>
            <w:tcMar>
              <w:top w:w="60" w:type="dxa"/>
              <w:left w:w="70" w:type="dxa"/>
              <w:bottom w:w="60" w:type="dxa"/>
              <w:right w:w="70" w:type="dxa"/>
            </w:tcMar>
          </w:tcPr>
          <w:p>
            <w:pPr>
              <w:pStyle w:val="CadEETableStyle"/>
            </w:pPr>
            <w:r>
              <w:t>1</w:t>
            </w:r>
          </w:p>
        </w:tc>
        <w:tc>
          <w:tcPr>
            <w:tcW w:w="1672" w:type="dxa"/>
            <w:vAlign w:val="center"/>
            <w:tcMar>
              <w:top w:w="60" w:type="dxa"/>
              <w:left w:w="70" w:type="dxa"/>
              <w:bottom w:w="60" w:type="dxa"/>
              <w:right w:w="70" w:type="dxa"/>
            </w:tcMar>
          </w:tcPr>
          <w:p>
            <w:pPr>
              <w:pStyle w:val="CadEETableStyle"/>
            </w:pPr>
            <w:r>
              <w:t>A.0.3-5</w:t>
            </w:r>
          </w:p>
        </w:tc>
      </w:tr>
      <w:tr>
        <w:tc>
          <w:tcPr>
            <w:tcW w:w="760" w:type="dxa"/>
            <w:vAlign w:val="center"/>
            <w:tcMar>
              <w:top w:w="60" w:type="dxa"/>
              <w:left w:w="70" w:type="dxa"/>
              <w:bottom w:w="60" w:type="dxa"/>
              <w:right w:w="70" w:type="dxa"/>
            </w:tcMar>
          </w:tcPr>
          <w:p>
            <w:pPr>
              <w:pStyle w:val="CadEETableStyle"/>
            </w:pPr>
            <w:r>
              <w:t>5</w:t>
            </w:r>
          </w:p>
        </w:tc>
        <w:tc>
          <w:tcPr>
            <w:tcW w:w="1064" w:type="dxa"/>
            <w:vAlign w:val="center"/>
            <w:tcMar>
              <w:top w:w="60" w:type="dxa"/>
              <w:left w:w="70" w:type="dxa"/>
              <w:bottom w:w="60" w:type="dxa"/>
              <w:right w:w="70" w:type="dxa"/>
            </w:tcMar>
          </w:tcPr>
          <w:p>
            <w:pPr>
              <w:pStyle w:val="CadEETableStyle"/>
            </w:pPr>
            <w:r>
              <w:t>0/5</w:t>
            </w:r>
          </w:p>
        </w:tc>
        <w:tc>
          <w:tcPr>
            <w:tcW w:w="760" w:type="dxa"/>
            <w:vAlign w:val="center"/>
            <w:tcMar>
              <w:top w:w="60" w:type="dxa"/>
              <w:left w:w="70" w:type="dxa"/>
              <w:bottom w:w="60" w:type="dxa"/>
              <w:right w:w="70" w:type="dxa"/>
            </w:tcMar>
          </w:tcPr>
          <w:p>
            <w:pPr>
              <w:pStyle w:val="CadEETableStyle"/>
            </w:pPr>
            <w:r>
              <w:t>0.0000</w:t>
            </w:r>
          </w:p>
        </w:tc>
        <w:tc>
          <w:tcPr>
            <w:tcW w:w="760" w:type="dxa"/>
            <w:vAlign w:val="center"/>
            <w:tcMar>
              <w:top w:w="60" w:type="dxa"/>
              <w:left w:w="70" w:type="dxa"/>
              <w:bottom w:w="60" w:type="dxa"/>
              <w:right w:w="70" w:type="dxa"/>
            </w:tcMar>
          </w:tcPr>
          <w:p>
            <w:pPr>
              <w:pStyle w:val="CadEETableStyle"/>
            </w:pPr>
            <w:r>
              <w:t>0.6000</w:t>
            </w:r>
          </w:p>
        </w:tc>
        <w:tc>
          <w:tcPr>
            <w:tcW w:w="760" w:type="dxa"/>
            <w:vAlign w:val="center"/>
            <w:tcMar>
              <w:top w:w="60" w:type="dxa"/>
              <w:left w:w="70" w:type="dxa"/>
              <w:bottom w:w="60" w:type="dxa"/>
              <w:right w:w="70" w:type="dxa"/>
            </w:tcMar>
          </w:tcPr>
          <w:p>
            <w:pPr>
              <w:pStyle w:val="CadEETableStyle"/>
            </w:pPr>
            <w:r>
              <w:t>0.0500</w:t>
            </w:r>
          </w:p>
        </w:tc>
        <w:tc>
          <w:tcPr>
            <w:tcW w:w="760" w:type="dxa"/>
            <w:vAlign w:val="center"/>
            <w:tcMar>
              <w:top w:w="60" w:type="dxa"/>
              <w:left w:w="70" w:type="dxa"/>
              <w:bottom w:w="60" w:type="dxa"/>
              <w:right w:w="70" w:type="dxa"/>
            </w:tcMar>
          </w:tcPr>
          <w:p>
            <w:pPr>
              <w:pStyle w:val="CadEETableStyle"/>
            </w:pPr>
            <w:r>
              <w:t>0.7500</w:t>
            </w:r>
          </w:p>
        </w:tc>
        <w:tc>
          <w:tcPr>
            <w:tcW w:w="1064" w:type="dxa"/>
            <w:vAlign w:val="center"/>
            <w:tcMar>
              <w:top w:w="60" w:type="dxa"/>
              <w:left w:w="70" w:type="dxa"/>
              <w:bottom w:w="60" w:type="dxa"/>
              <w:right w:w="70" w:type="dxa"/>
            </w:tcMar>
          </w:tcPr>
          <w:p>
            <w:pPr>
              <w:pStyle w:val="CadEETableStyle"/>
            </w:pPr>
            <w:r>
              <w:t>21.3573</w:t>
            </w:r>
          </w:p>
        </w:tc>
        <w:tc>
          <w:tcPr>
            <w:tcW w:w="912" w:type="dxa"/>
            <w:vAlign w:val="center"/>
            <w:tcMar>
              <w:top w:w="60" w:type="dxa"/>
              <w:left w:w="70" w:type="dxa"/>
              <w:bottom w:w="60" w:type="dxa"/>
              <w:right w:w="70" w:type="dxa"/>
            </w:tcMar>
          </w:tcPr>
          <w:p>
            <w:pPr>
              <w:pStyle w:val="CadEETableStyle"/>
            </w:pPr>
            <w:r>
              <w:t>0.150000</w:t>
            </w:r>
          </w:p>
        </w:tc>
        <w:tc>
          <w:tcPr>
            <w:tcW w:w="912" w:type="dxa"/>
            <w:vAlign w:val="center"/>
            <w:tcMar>
              <w:top w:w="60" w:type="dxa"/>
              <w:left w:w="70" w:type="dxa"/>
              <w:bottom w:w="60" w:type="dxa"/>
              <w:right w:w="70" w:type="dxa"/>
            </w:tcMar>
          </w:tcPr>
          <w:p>
            <w:pPr>
              <w:pStyle w:val="CadEETableStyle"/>
            </w:pPr>
            <w:r>
              <w:t>0.000000</w:t>
            </w:r>
          </w:p>
        </w:tc>
        <w:tc>
          <w:tcPr>
            <w:tcW w:w="912" w:type="dxa"/>
            <w:vAlign w:val="center"/>
            <w:tcMar>
              <w:top w:w="60" w:type="dxa"/>
              <w:left w:w="70" w:type="dxa"/>
              <w:bottom w:w="60" w:type="dxa"/>
              <w:right w:w="70" w:type="dxa"/>
            </w:tcMar>
          </w:tcPr>
          <w:p>
            <w:pPr>
              <w:pStyle w:val="CadEETableStyle"/>
            </w:pPr>
            <w:r>
              <w:t>1</w:t>
            </w:r>
          </w:p>
        </w:tc>
        <w:tc>
          <w:tcPr>
            <w:tcW w:w="1672" w:type="dxa"/>
            <w:vAlign w:val="center"/>
            <w:tcMar>
              <w:top w:w="60" w:type="dxa"/>
              <w:left w:w="70" w:type="dxa"/>
              <w:bottom w:w="60" w:type="dxa"/>
              <w:right w:w="70" w:type="dxa"/>
            </w:tcMar>
          </w:tcPr>
          <w:p>
            <w:pPr>
              <w:pStyle w:val="CadEETableStyle"/>
            </w:pPr>
            <w:r>
              <w:t>A.0.3-6</w:t>
            </w:r>
          </w:p>
        </w:tc>
      </w:tr>
      <w:tr>
        <w:tc>
          <w:tcPr>
            <w:tcW w:w="760" w:type="dxa"/>
            <w:vAlign w:val="center"/>
            <w:tcMar>
              <w:top w:w="60" w:type="dxa"/>
              <w:left w:w="70" w:type="dxa"/>
              <w:bottom w:w="60" w:type="dxa"/>
              <w:right w:w="70" w:type="dxa"/>
            </w:tcMar>
          </w:tcPr>
          <w:p>
            <w:pPr>
              <w:pStyle w:val="CadEETableStyle"/>
            </w:pPr>
            <w:r>
              <w:t>6</w:t>
            </w:r>
          </w:p>
        </w:tc>
        <w:tc>
          <w:tcPr>
            <w:tcW w:w="1064" w:type="dxa"/>
            <w:vAlign w:val="center"/>
            <w:tcMar>
              <w:top w:w="60" w:type="dxa"/>
              <w:left w:w="70" w:type="dxa"/>
              <w:bottom w:w="60" w:type="dxa"/>
              <w:right w:w="70" w:type="dxa"/>
            </w:tcMar>
          </w:tcPr>
          <w:p>
            <w:pPr>
              <w:pStyle w:val="CadEETableStyle"/>
            </w:pPr>
            <w:r>
              <w:t>0/6</w:t>
            </w:r>
          </w:p>
        </w:tc>
        <w:tc>
          <w:tcPr>
            <w:tcW w:w="760" w:type="dxa"/>
            <w:vAlign w:val="center"/>
            <w:tcMar>
              <w:top w:w="60" w:type="dxa"/>
              <w:left w:w="70" w:type="dxa"/>
              <w:bottom w:w="60" w:type="dxa"/>
              <w:right w:w="70" w:type="dxa"/>
            </w:tcMar>
          </w:tcPr>
          <w:p>
            <w:pPr>
              <w:pStyle w:val="CadEETableStyle"/>
            </w:pPr>
            <w:r>
              <w:t>0.0000</w:t>
            </w:r>
          </w:p>
        </w:tc>
        <w:tc>
          <w:tcPr>
            <w:tcW w:w="760" w:type="dxa"/>
            <w:vAlign w:val="center"/>
            <w:tcMar>
              <w:top w:w="60" w:type="dxa"/>
              <w:left w:w="70" w:type="dxa"/>
              <w:bottom w:w="60" w:type="dxa"/>
              <w:right w:w="70" w:type="dxa"/>
            </w:tcMar>
          </w:tcPr>
          <w:p>
            <w:pPr>
              <w:pStyle w:val="CadEETableStyle"/>
            </w:pPr>
            <w:r>
              <w:t>0.7500</w:t>
            </w:r>
          </w:p>
        </w:tc>
        <w:tc>
          <w:tcPr>
            <w:tcW w:w="760" w:type="dxa"/>
            <w:vAlign w:val="center"/>
            <w:tcMar>
              <w:top w:w="60" w:type="dxa"/>
              <w:left w:w="70" w:type="dxa"/>
              <w:bottom w:w="60" w:type="dxa"/>
              <w:right w:w="70" w:type="dxa"/>
            </w:tcMar>
          </w:tcPr>
          <w:p>
            <w:pPr>
              <w:pStyle w:val="CadEETableStyle"/>
            </w:pPr>
            <w:r>
              <w:t>0.0500</w:t>
            </w:r>
          </w:p>
        </w:tc>
        <w:tc>
          <w:tcPr>
            <w:tcW w:w="760" w:type="dxa"/>
            <w:vAlign w:val="center"/>
            <w:tcMar>
              <w:top w:w="60" w:type="dxa"/>
              <w:left w:w="70" w:type="dxa"/>
              <w:bottom w:w="60" w:type="dxa"/>
              <w:right w:w="70" w:type="dxa"/>
            </w:tcMar>
          </w:tcPr>
          <w:p>
            <w:pPr>
              <w:pStyle w:val="CadEETableStyle"/>
            </w:pPr>
            <w:r>
              <w:t>0.8000</w:t>
            </w:r>
          </w:p>
        </w:tc>
        <w:tc>
          <w:tcPr>
            <w:tcW w:w="1064" w:type="dxa"/>
            <w:vAlign w:val="center"/>
            <w:tcMar>
              <w:top w:w="60" w:type="dxa"/>
              <w:left w:w="70" w:type="dxa"/>
              <w:bottom w:w="60" w:type="dxa"/>
              <w:right w:w="70" w:type="dxa"/>
            </w:tcMar>
          </w:tcPr>
          <w:p>
            <w:pPr>
              <w:pStyle w:val="CadEETableStyle"/>
            </w:pPr>
            <w:r>
              <w:t>19.9713</w:t>
            </w:r>
          </w:p>
        </w:tc>
        <w:tc>
          <w:tcPr>
            <w:tcW w:w="912" w:type="dxa"/>
            <w:vAlign w:val="center"/>
            <w:tcMar>
              <w:top w:w="60" w:type="dxa"/>
              <w:left w:w="70" w:type="dxa"/>
              <w:bottom w:w="60" w:type="dxa"/>
              <w:right w:w="70" w:type="dxa"/>
            </w:tcMar>
          </w:tcPr>
          <w:p>
            <w:pPr>
              <w:pStyle w:val="CadEETableStyle"/>
            </w:pPr>
            <w:r>
              <w:t>0.050000</w:t>
            </w:r>
          </w:p>
        </w:tc>
        <w:tc>
          <w:tcPr>
            <w:tcW w:w="912" w:type="dxa"/>
            <w:vAlign w:val="center"/>
            <w:tcMar>
              <w:top w:w="60" w:type="dxa"/>
              <w:left w:w="70" w:type="dxa"/>
              <w:bottom w:w="60" w:type="dxa"/>
              <w:right w:w="70" w:type="dxa"/>
            </w:tcMar>
          </w:tcPr>
          <w:p>
            <w:pPr>
              <w:pStyle w:val="CadEETableStyle"/>
            </w:pPr>
            <w:r>
              <w:t>0.000000</w:t>
            </w:r>
          </w:p>
        </w:tc>
        <w:tc>
          <w:tcPr>
            <w:tcW w:w="912" w:type="dxa"/>
            <w:vAlign w:val="center"/>
            <w:tcMar>
              <w:top w:w="60" w:type="dxa"/>
              <w:left w:w="70" w:type="dxa"/>
              <w:bottom w:w="60" w:type="dxa"/>
              <w:right w:w="70" w:type="dxa"/>
            </w:tcMar>
          </w:tcPr>
          <w:p>
            <w:pPr>
              <w:pStyle w:val="CadEETableStyle"/>
            </w:pPr>
            <w:r>
              <w:t>1</w:t>
            </w:r>
          </w:p>
        </w:tc>
        <w:tc>
          <w:tcPr>
            <w:tcW w:w="1672" w:type="dxa"/>
            <w:vAlign w:val="center"/>
            <w:tcMar>
              <w:top w:w="60" w:type="dxa"/>
              <w:left w:w="70" w:type="dxa"/>
              <w:bottom w:w="60" w:type="dxa"/>
              <w:right w:w="70" w:type="dxa"/>
            </w:tcMar>
          </w:tcPr>
          <w:p>
            <w:pPr>
              <w:pStyle w:val="CadEETableStyle"/>
            </w:pPr>
            <w:r>
              <w:t>A.0.3-7</w:t>
            </w:r>
          </w:p>
        </w:tc>
      </w:tr>
      <w:tr>
        <w:tc>
          <w:tcPr>
            <w:tcW w:w="760" w:type="dxa"/>
            <w:vAlign w:val="center"/>
            <w:tcMar>
              <w:top w:w="60" w:type="dxa"/>
              <w:left w:w="70" w:type="dxa"/>
              <w:bottom w:w="60" w:type="dxa"/>
              <w:right w:w="70" w:type="dxa"/>
            </w:tcMar>
          </w:tcPr>
          <w:p>
            <w:pPr>
              <w:pStyle w:val="CadEETableStyle"/>
            </w:pPr>
            <w:r>
              <w:t>7</w:t>
            </w:r>
          </w:p>
        </w:tc>
        <w:tc>
          <w:tcPr>
            <w:tcW w:w="1064" w:type="dxa"/>
            <w:vAlign w:val="center"/>
            <w:tcMar>
              <w:top w:w="60" w:type="dxa"/>
              <w:left w:w="70" w:type="dxa"/>
              <w:bottom w:w="60" w:type="dxa"/>
              <w:right w:w="70" w:type="dxa"/>
            </w:tcMar>
          </w:tcPr>
          <w:p>
            <w:pPr>
              <w:pStyle w:val="CadEETableStyle"/>
            </w:pPr>
            <w:r>
              <w:t>1/0</w:t>
            </w:r>
          </w:p>
        </w:tc>
        <w:tc>
          <w:tcPr>
            <w:tcW w:w="760" w:type="dxa"/>
            <w:vAlign w:val="center"/>
            <w:tcMar>
              <w:top w:w="60" w:type="dxa"/>
              <w:left w:w="70" w:type="dxa"/>
              <w:bottom w:w="60" w:type="dxa"/>
              <w:right w:w="70" w:type="dxa"/>
            </w:tcMar>
          </w:tcPr>
          <w:p>
            <w:pPr>
              <w:pStyle w:val="CadEETableStyle"/>
            </w:pPr>
            <w:r>
              <w:t>0.0500</w:t>
            </w:r>
          </w:p>
        </w:tc>
        <w:tc>
          <w:tcPr>
            <w:tcW w:w="760" w:type="dxa"/>
            <w:vAlign w:val="center"/>
            <w:tcMar>
              <w:top w:w="60" w:type="dxa"/>
              <w:left w:w="70" w:type="dxa"/>
              <w:bottom w:w="60" w:type="dxa"/>
              <w:right w:w="70" w:type="dxa"/>
            </w:tcMar>
          </w:tcPr>
          <w:p>
            <w:pPr>
              <w:pStyle w:val="CadEETableStyle"/>
            </w:pPr>
            <w:r>
              <w:t>0.0000</w:t>
            </w:r>
          </w:p>
        </w:tc>
        <w:tc>
          <w:tcPr>
            <w:tcW w:w="760" w:type="dxa"/>
            <w:vAlign w:val="center"/>
            <w:tcMar>
              <w:top w:w="60" w:type="dxa"/>
              <w:left w:w="70" w:type="dxa"/>
              <w:bottom w:w="60" w:type="dxa"/>
              <w:right w:w="70" w:type="dxa"/>
            </w:tcMar>
          </w:tcPr>
          <w:p>
            <w:pPr>
              <w:pStyle w:val="CadEETableStyle"/>
            </w:pPr>
            <w:r>
              <w:t>0.1000</w:t>
            </w:r>
          </w:p>
        </w:tc>
        <w:tc>
          <w:tcPr>
            <w:tcW w:w="760" w:type="dxa"/>
            <w:vAlign w:val="center"/>
            <w:tcMar>
              <w:top w:w="60" w:type="dxa"/>
              <w:left w:w="70" w:type="dxa"/>
              <w:bottom w:w="60" w:type="dxa"/>
              <w:right w:w="70" w:type="dxa"/>
            </w:tcMar>
          </w:tcPr>
          <w:p>
            <w:pPr>
              <w:pStyle w:val="CadEETableStyle"/>
            </w:pPr>
            <w:r>
              <w:t>0.0500</w:t>
            </w:r>
          </w:p>
        </w:tc>
        <w:tc>
          <w:tcPr>
            <w:tcW w:w="1064" w:type="dxa"/>
            <w:vAlign w:val="center"/>
            <w:tcMar>
              <w:top w:w="60" w:type="dxa"/>
              <w:left w:w="70" w:type="dxa"/>
              <w:bottom w:w="60" w:type="dxa"/>
              <w:right w:w="70" w:type="dxa"/>
            </w:tcMar>
          </w:tcPr>
          <w:p>
            <w:pPr>
              <w:pStyle w:val="CadEETableStyle"/>
            </w:pPr>
            <w:r>
              <w:t>20.6727</w:t>
            </w:r>
          </w:p>
        </w:tc>
        <w:tc>
          <w:tcPr>
            <w:tcW w:w="912" w:type="dxa"/>
            <w:vAlign w:val="center"/>
            <w:tcMar>
              <w:top w:w="60" w:type="dxa"/>
              <w:left w:w="70" w:type="dxa"/>
              <w:bottom w:w="60" w:type="dxa"/>
              <w:right w:w="70" w:type="dxa"/>
            </w:tcMar>
          </w:tcPr>
          <w:p>
            <w:pPr>
              <w:pStyle w:val="CadEETableStyle"/>
            </w:pPr>
            <w:r>
              <w:t>0.000000</w:t>
            </w:r>
          </w:p>
        </w:tc>
        <w:tc>
          <w:tcPr>
            <w:tcW w:w="912" w:type="dxa"/>
            <w:vAlign w:val="center"/>
            <w:tcMar>
              <w:top w:w="60" w:type="dxa"/>
              <w:left w:w="70" w:type="dxa"/>
              <w:bottom w:w="60" w:type="dxa"/>
              <w:right w:w="70" w:type="dxa"/>
            </w:tcMar>
          </w:tcPr>
          <w:p>
            <w:pPr>
              <w:pStyle w:val="CadEETableStyle"/>
            </w:pPr>
            <w:r>
              <w:t>0.050000</w:t>
            </w:r>
          </w:p>
        </w:tc>
        <w:tc>
          <w:tcPr>
            <w:tcW w:w="912" w:type="dxa"/>
            <w:vAlign w:val="center"/>
            <w:tcMar>
              <w:top w:w="60" w:type="dxa"/>
              <w:left w:w="70" w:type="dxa"/>
              <w:bottom w:w="60" w:type="dxa"/>
              <w:right w:w="70" w:type="dxa"/>
            </w:tcMar>
          </w:tcPr>
          <w:p>
            <w:pPr>
              <w:pStyle w:val="CadEETableStyle"/>
            </w:pPr>
            <w:r>
              <w:t>0</w:t>
            </w:r>
          </w:p>
        </w:tc>
        <w:tc>
          <w:tcPr>
            <w:tcW w:w="1672" w:type="dxa"/>
            <w:vAlign w:val="center"/>
            <w:tcMar>
              <w:top w:w="60" w:type="dxa"/>
              <w:left w:w="70" w:type="dxa"/>
              <w:bottom w:w="60" w:type="dxa"/>
              <w:right w:w="70" w:type="dxa"/>
            </w:tcMar>
          </w:tcPr>
          <w:p>
            <w:pPr>
              <w:pStyle w:val="CadEETableStyle"/>
            </w:pPr>
            <w:r>
              <w:t>-</w:t>
            </w:r>
          </w:p>
        </w:tc>
      </w:tr>
      <w:tr>
        <w:tc>
          <w:tcPr>
            <w:tcW w:w="760" w:type="dxa"/>
            <w:vAlign w:val="center"/>
            <w:tcMar>
              <w:top w:w="60" w:type="dxa"/>
              <w:left w:w="70" w:type="dxa"/>
              <w:bottom w:w="60" w:type="dxa"/>
              <w:right w:w="70" w:type="dxa"/>
            </w:tcMar>
          </w:tcPr>
          <w:p>
            <w:pPr>
              <w:pStyle w:val="CadEETableStyle"/>
            </w:pPr>
            <w:r>
              <w:t>8</w:t>
            </w:r>
          </w:p>
        </w:tc>
        <w:tc>
          <w:tcPr>
            <w:tcW w:w="1064" w:type="dxa"/>
            <w:vAlign w:val="center"/>
            <w:tcMar>
              <w:top w:w="60" w:type="dxa"/>
              <w:left w:w="70" w:type="dxa"/>
              <w:bottom w:w="60" w:type="dxa"/>
              <w:right w:w="70" w:type="dxa"/>
            </w:tcMar>
          </w:tcPr>
          <w:p>
            <w:pPr>
              <w:pStyle w:val="CadEETableStyle"/>
            </w:pPr>
            <w:r>
              <w:t>1/1</w:t>
            </w:r>
          </w:p>
        </w:tc>
        <w:tc>
          <w:tcPr>
            <w:tcW w:w="760" w:type="dxa"/>
            <w:vAlign w:val="center"/>
            <w:tcMar>
              <w:top w:w="60" w:type="dxa"/>
              <w:left w:w="70" w:type="dxa"/>
              <w:bottom w:w="60" w:type="dxa"/>
              <w:right w:w="70" w:type="dxa"/>
            </w:tcMar>
          </w:tcPr>
          <w:p>
            <w:pPr>
              <w:pStyle w:val="CadEETableStyle"/>
            </w:pPr>
            <w:r>
              <w:t>0.0500</w:t>
            </w:r>
          </w:p>
        </w:tc>
        <w:tc>
          <w:tcPr>
            <w:tcW w:w="760" w:type="dxa"/>
            <w:vAlign w:val="center"/>
            <w:tcMar>
              <w:top w:w="60" w:type="dxa"/>
              <w:left w:w="70" w:type="dxa"/>
              <w:bottom w:w="60" w:type="dxa"/>
              <w:right w:w="70" w:type="dxa"/>
            </w:tcMar>
          </w:tcPr>
          <w:p>
            <w:pPr>
              <w:pStyle w:val="CadEETableStyle"/>
            </w:pPr>
            <w:r>
              <w:t>0.0500</w:t>
            </w:r>
          </w:p>
        </w:tc>
        <w:tc>
          <w:tcPr>
            <w:tcW w:w="760" w:type="dxa"/>
            <w:vAlign w:val="center"/>
            <w:tcMar>
              <w:top w:w="60" w:type="dxa"/>
              <w:left w:w="70" w:type="dxa"/>
              <w:bottom w:w="60" w:type="dxa"/>
              <w:right w:w="70" w:type="dxa"/>
            </w:tcMar>
          </w:tcPr>
          <w:p>
            <w:pPr>
              <w:pStyle w:val="CadEETableStyle"/>
            </w:pPr>
            <w:r>
              <w:t>0.1000</w:t>
            </w:r>
          </w:p>
        </w:tc>
        <w:tc>
          <w:tcPr>
            <w:tcW w:w="760" w:type="dxa"/>
            <w:vAlign w:val="center"/>
            <w:tcMar>
              <w:top w:w="60" w:type="dxa"/>
              <w:left w:w="70" w:type="dxa"/>
              <w:bottom w:w="60" w:type="dxa"/>
              <w:right w:w="70" w:type="dxa"/>
            </w:tcMar>
          </w:tcPr>
          <w:p>
            <w:pPr>
              <w:pStyle w:val="CadEETableStyle"/>
            </w:pPr>
            <w:r>
              <w:t>0.2000</w:t>
            </w:r>
          </w:p>
        </w:tc>
        <w:tc>
          <w:tcPr>
            <w:tcW w:w="1064" w:type="dxa"/>
            <w:vAlign w:val="center"/>
            <w:tcMar>
              <w:top w:w="60" w:type="dxa"/>
              <w:left w:w="70" w:type="dxa"/>
              <w:bottom w:w="60" w:type="dxa"/>
              <w:right w:w="70" w:type="dxa"/>
            </w:tcMar>
          </w:tcPr>
          <w:p>
            <w:pPr>
              <w:pStyle w:val="CadEETableStyle"/>
            </w:pPr>
            <w:r>
              <w:t>21.1419</w:t>
            </w:r>
          </w:p>
        </w:tc>
        <w:tc>
          <w:tcPr>
            <w:tcW w:w="912" w:type="dxa"/>
            <w:vAlign w:val="center"/>
            <w:tcMar>
              <w:top w:w="60" w:type="dxa"/>
              <w:left w:w="70" w:type="dxa"/>
              <w:bottom w:w="60" w:type="dxa"/>
              <w:right w:w="70" w:type="dxa"/>
            </w:tcMar>
          </w:tcPr>
          <w:p>
            <w:pPr>
              <w:pStyle w:val="CadEETableStyle"/>
            </w:pPr>
            <w:r>
              <w:t>0.000000</w:t>
            </w:r>
          </w:p>
        </w:tc>
        <w:tc>
          <w:tcPr>
            <w:tcW w:w="912" w:type="dxa"/>
            <w:vAlign w:val="center"/>
            <w:tcMar>
              <w:top w:w="60" w:type="dxa"/>
              <w:left w:w="70" w:type="dxa"/>
              <w:bottom w:w="60" w:type="dxa"/>
              <w:right w:w="70" w:type="dxa"/>
            </w:tcMar>
          </w:tcPr>
          <w:p>
            <w:pPr>
              <w:pStyle w:val="CadEETableStyle"/>
            </w:pPr>
            <w:r>
              <w:t>0.150000</w:t>
            </w:r>
          </w:p>
        </w:tc>
        <w:tc>
          <w:tcPr>
            <w:tcW w:w="912" w:type="dxa"/>
            <w:vAlign w:val="center"/>
            <w:tcMar>
              <w:top w:w="60" w:type="dxa"/>
              <w:left w:w="70" w:type="dxa"/>
              <w:bottom w:w="60" w:type="dxa"/>
              <w:right w:w="70" w:type="dxa"/>
            </w:tcMar>
          </w:tcPr>
          <w:p>
            <w:pPr>
              <w:pStyle w:val="CadEETableStyle"/>
            </w:pPr>
            <w:r>
              <w:t>0</w:t>
            </w:r>
          </w:p>
        </w:tc>
        <w:tc>
          <w:tcPr>
            <w:tcW w:w="1672" w:type="dxa"/>
            <w:vAlign w:val="center"/>
            <w:tcMar>
              <w:top w:w="60" w:type="dxa"/>
              <w:left w:w="70" w:type="dxa"/>
              <w:bottom w:w="60" w:type="dxa"/>
              <w:right w:w="70" w:type="dxa"/>
            </w:tcMar>
          </w:tcPr>
          <w:p>
            <w:pPr>
              <w:pStyle w:val="CadEETableStyle"/>
            </w:pPr>
            <w:r>
              <w:t>-</w:t>
            </w:r>
          </w:p>
        </w:tc>
      </w:tr>
      <w:tr>
        <w:tc>
          <w:tcPr>
            <w:tcW w:w="760" w:type="dxa"/>
            <w:vAlign w:val="center"/>
            <w:tcMar>
              <w:top w:w="60" w:type="dxa"/>
              <w:left w:w="70" w:type="dxa"/>
              <w:bottom w:w="60" w:type="dxa"/>
              <w:right w:w="70" w:type="dxa"/>
            </w:tcMar>
          </w:tcPr>
          <w:p>
            <w:pPr>
              <w:pStyle w:val="CadEETableStyle"/>
            </w:pPr>
            <w:r>
              <w:t>9</w:t>
            </w:r>
          </w:p>
        </w:tc>
        <w:tc>
          <w:tcPr>
            <w:tcW w:w="1064" w:type="dxa"/>
            <w:vAlign w:val="center"/>
            <w:tcMar>
              <w:top w:w="60" w:type="dxa"/>
              <w:left w:w="70" w:type="dxa"/>
              <w:bottom w:w="60" w:type="dxa"/>
              <w:right w:w="70" w:type="dxa"/>
            </w:tcMar>
          </w:tcPr>
          <w:p>
            <w:pPr>
              <w:pStyle w:val="CadEETableStyle"/>
            </w:pPr>
            <w:r>
              <w:t>1/2</w:t>
            </w:r>
          </w:p>
        </w:tc>
        <w:tc>
          <w:tcPr>
            <w:tcW w:w="760" w:type="dxa"/>
            <w:vAlign w:val="center"/>
            <w:tcMar>
              <w:top w:w="60" w:type="dxa"/>
              <w:left w:w="70" w:type="dxa"/>
              <w:bottom w:w="60" w:type="dxa"/>
              <w:right w:w="70" w:type="dxa"/>
            </w:tcMar>
          </w:tcPr>
          <w:p>
            <w:pPr>
              <w:pStyle w:val="CadEETableStyle"/>
            </w:pPr>
            <w:r>
              <w:t>0.0500</w:t>
            </w:r>
          </w:p>
        </w:tc>
        <w:tc>
          <w:tcPr>
            <w:tcW w:w="760" w:type="dxa"/>
            <w:vAlign w:val="center"/>
            <w:tcMar>
              <w:top w:w="60" w:type="dxa"/>
              <w:left w:w="70" w:type="dxa"/>
              <w:bottom w:w="60" w:type="dxa"/>
              <w:right w:w="70" w:type="dxa"/>
            </w:tcMar>
          </w:tcPr>
          <w:p>
            <w:pPr>
              <w:pStyle w:val="CadEETableStyle"/>
            </w:pPr>
            <w:r>
              <w:t>0.2000</w:t>
            </w:r>
          </w:p>
        </w:tc>
        <w:tc>
          <w:tcPr>
            <w:tcW w:w="760" w:type="dxa"/>
            <w:vAlign w:val="center"/>
            <w:tcMar>
              <w:top w:w="60" w:type="dxa"/>
              <w:left w:w="70" w:type="dxa"/>
              <w:bottom w:w="60" w:type="dxa"/>
              <w:right w:w="70" w:type="dxa"/>
            </w:tcMar>
          </w:tcPr>
          <w:p>
            <w:pPr>
              <w:pStyle w:val="CadEETableStyle"/>
            </w:pPr>
            <w:r>
              <w:t>0.1000</w:t>
            </w:r>
          </w:p>
        </w:tc>
        <w:tc>
          <w:tcPr>
            <w:tcW w:w="760" w:type="dxa"/>
            <w:vAlign w:val="center"/>
            <w:tcMar>
              <w:top w:w="60" w:type="dxa"/>
              <w:left w:w="70" w:type="dxa"/>
              <w:bottom w:w="60" w:type="dxa"/>
              <w:right w:w="70" w:type="dxa"/>
            </w:tcMar>
          </w:tcPr>
          <w:p>
            <w:pPr>
              <w:pStyle w:val="CadEETableStyle"/>
            </w:pPr>
            <w:r>
              <w:t>0.3500</w:t>
            </w:r>
          </w:p>
        </w:tc>
        <w:tc>
          <w:tcPr>
            <w:tcW w:w="1064" w:type="dxa"/>
            <w:vAlign w:val="center"/>
            <w:tcMar>
              <w:top w:w="60" w:type="dxa"/>
              <w:left w:w="70" w:type="dxa"/>
              <w:bottom w:w="60" w:type="dxa"/>
              <w:right w:w="70" w:type="dxa"/>
            </w:tcMar>
          </w:tcPr>
          <w:p>
            <w:pPr>
              <w:pStyle w:val="CadEETableStyle"/>
            </w:pPr>
            <w:r>
              <w:t>21.0900</w:t>
            </w:r>
          </w:p>
        </w:tc>
        <w:tc>
          <w:tcPr>
            <w:tcW w:w="912" w:type="dxa"/>
            <w:vAlign w:val="center"/>
            <w:tcMar>
              <w:top w:w="60" w:type="dxa"/>
              <w:left w:w="70" w:type="dxa"/>
              <w:bottom w:w="60" w:type="dxa"/>
              <w:right w:w="70" w:type="dxa"/>
            </w:tcMar>
          </w:tcPr>
          <w:p>
            <w:pPr>
              <w:pStyle w:val="CadEETableStyle"/>
            </w:pPr>
            <w:r>
              <w:t>0.000000</w:t>
            </w:r>
          </w:p>
        </w:tc>
        <w:tc>
          <w:tcPr>
            <w:tcW w:w="912" w:type="dxa"/>
            <w:vAlign w:val="center"/>
            <w:tcMar>
              <w:top w:w="60" w:type="dxa"/>
              <w:left w:w="70" w:type="dxa"/>
              <w:bottom w:w="60" w:type="dxa"/>
              <w:right w:w="70" w:type="dxa"/>
            </w:tcMar>
          </w:tcPr>
          <w:p>
            <w:pPr>
              <w:pStyle w:val="CadEETableStyle"/>
            </w:pPr>
            <w:r>
              <w:t>0.150000</w:t>
            </w:r>
          </w:p>
        </w:tc>
        <w:tc>
          <w:tcPr>
            <w:tcW w:w="912" w:type="dxa"/>
            <w:vAlign w:val="center"/>
            <w:tcMar>
              <w:top w:w="60" w:type="dxa"/>
              <w:left w:w="70" w:type="dxa"/>
              <w:bottom w:w="60" w:type="dxa"/>
              <w:right w:w="70" w:type="dxa"/>
            </w:tcMar>
          </w:tcPr>
          <w:p>
            <w:pPr>
              <w:pStyle w:val="CadEETableStyle"/>
            </w:pPr>
            <w:r>
              <w:t>0</w:t>
            </w:r>
          </w:p>
        </w:tc>
        <w:tc>
          <w:tcPr>
            <w:tcW w:w="1672" w:type="dxa"/>
            <w:vAlign w:val="center"/>
            <w:tcMar>
              <w:top w:w="60" w:type="dxa"/>
              <w:left w:w="70" w:type="dxa"/>
              <w:bottom w:w="60" w:type="dxa"/>
              <w:right w:w="70" w:type="dxa"/>
            </w:tcMar>
          </w:tcPr>
          <w:p>
            <w:pPr>
              <w:pStyle w:val="CadEETableStyle"/>
            </w:pPr>
            <w:r>
              <w:t>-</w:t>
            </w:r>
          </w:p>
        </w:tc>
      </w:tr>
      <w:tr>
        <w:tc>
          <w:tcPr>
            <w:tcW w:w="760" w:type="dxa"/>
            <w:vAlign w:val="center"/>
            <w:tcMar>
              <w:top w:w="60" w:type="dxa"/>
              <w:left w:w="70" w:type="dxa"/>
              <w:bottom w:w="60" w:type="dxa"/>
              <w:right w:w="70" w:type="dxa"/>
            </w:tcMar>
          </w:tcPr>
          <w:p>
            <w:pPr>
              <w:pStyle w:val="CadEETableStyle"/>
            </w:pPr>
            <w:r>
              <w:t>10</w:t>
            </w:r>
          </w:p>
        </w:tc>
        <w:tc>
          <w:tcPr>
            <w:tcW w:w="1064" w:type="dxa"/>
            <w:vAlign w:val="center"/>
            <w:tcMar>
              <w:top w:w="60" w:type="dxa"/>
              <w:left w:w="70" w:type="dxa"/>
              <w:bottom w:w="60" w:type="dxa"/>
              <w:right w:w="70" w:type="dxa"/>
            </w:tcMar>
          </w:tcPr>
          <w:p>
            <w:pPr>
              <w:pStyle w:val="CadEETableStyle"/>
            </w:pPr>
            <w:r>
              <w:t>1/3</w:t>
            </w:r>
          </w:p>
        </w:tc>
        <w:tc>
          <w:tcPr>
            <w:tcW w:w="760" w:type="dxa"/>
            <w:vAlign w:val="center"/>
            <w:tcMar>
              <w:top w:w="60" w:type="dxa"/>
              <w:left w:w="70" w:type="dxa"/>
              <w:bottom w:w="60" w:type="dxa"/>
              <w:right w:w="70" w:type="dxa"/>
            </w:tcMar>
          </w:tcPr>
          <w:p>
            <w:pPr>
              <w:pStyle w:val="CadEETableStyle"/>
            </w:pPr>
            <w:r>
              <w:t>0.0500</w:t>
            </w:r>
          </w:p>
        </w:tc>
        <w:tc>
          <w:tcPr>
            <w:tcW w:w="760" w:type="dxa"/>
            <w:vAlign w:val="center"/>
            <w:tcMar>
              <w:top w:w="60" w:type="dxa"/>
              <w:left w:w="70" w:type="dxa"/>
              <w:bottom w:w="60" w:type="dxa"/>
              <w:right w:w="70" w:type="dxa"/>
            </w:tcMar>
          </w:tcPr>
          <w:p>
            <w:pPr>
              <w:pStyle w:val="CadEETableStyle"/>
            </w:pPr>
            <w:r>
              <w:t>0.3500</w:t>
            </w:r>
          </w:p>
        </w:tc>
        <w:tc>
          <w:tcPr>
            <w:tcW w:w="760" w:type="dxa"/>
            <w:vAlign w:val="center"/>
            <w:tcMar>
              <w:top w:w="60" w:type="dxa"/>
              <w:left w:w="70" w:type="dxa"/>
              <w:bottom w:w="60" w:type="dxa"/>
              <w:right w:w="70" w:type="dxa"/>
            </w:tcMar>
          </w:tcPr>
          <w:p>
            <w:pPr>
              <w:pStyle w:val="CadEETableStyle"/>
            </w:pPr>
            <w:r>
              <w:t>0.1000</w:t>
            </w:r>
          </w:p>
        </w:tc>
        <w:tc>
          <w:tcPr>
            <w:tcW w:w="760" w:type="dxa"/>
            <w:vAlign w:val="center"/>
            <w:tcMar>
              <w:top w:w="60" w:type="dxa"/>
              <w:left w:w="70" w:type="dxa"/>
              <w:bottom w:w="60" w:type="dxa"/>
              <w:right w:w="70" w:type="dxa"/>
            </w:tcMar>
          </w:tcPr>
          <w:p>
            <w:pPr>
              <w:pStyle w:val="CadEETableStyle"/>
            </w:pPr>
            <w:r>
              <w:t>0.4500</w:t>
            </w:r>
          </w:p>
        </w:tc>
        <w:tc>
          <w:tcPr>
            <w:tcW w:w="1064" w:type="dxa"/>
            <w:vAlign w:val="center"/>
            <w:tcMar>
              <w:top w:w="60" w:type="dxa"/>
              <w:left w:w="70" w:type="dxa"/>
              <w:bottom w:w="60" w:type="dxa"/>
              <w:right w:w="70" w:type="dxa"/>
            </w:tcMar>
          </w:tcPr>
          <w:p>
            <w:pPr>
              <w:pStyle w:val="CadEETableStyle"/>
            </w:pPr>
            <w:r>
              <w:t>20.7933</w:t>
            </w:r>
          </w:p>
        </w:tc>
        <w:tc>
          <w:tcPr>
            <w:tcW w:w="912" w:type="dxa"/>
            <w:vAlign w:val="center"/>
            <w:tcMar>
              <w:top w:w="60" w:type="dxa"/>
              <w:left w:w="70" w:type="dxa"/>
              <w:bottom w:w="60" w:type="dxa"/>
              <w:right w:w="70" w:type="dxa"/>
            </w:tcMar>
          </w:tcPr>
          <w:p>
            <w:pPr>
              <w:pStyle w:val="CadEETableStyle"/>
            </w:pPr>
            <w:r>
              <w:t>0.000000</w:t>
            </w:r>
          </w:p>
        </w:tc>
        <w:tc>
          <w:tcPr>
            <w:tcW w:w="912" w:type="dxa"/>
            <w:vAlign w:val="center"/>
            <w:tcMar>
              <w:top w:w="60" w:type="dxa"/>
              <w:left w:w="70" w:type="dxa"/>
              <w:bottom w:w="60" w:type="dxa"/>
              <w:right w:w="70" w:type="dxa"/>
            </w:tcMar>
          </w:tcPr>
          <w:p>
            <w:pPr>
              <w:pStyle w:val="CadEETableStyle"/>
            </w:pPr>
            <w:r>
              <w:t>0.100000</w:t>
            </w:r>
          </w:p>
        </w:tc>
        <w:tc>
          <w:tcPr>
            <w:tcW w:w="912" w:type="dxa"/>
            <w:vAlign w:val="center"/>
            <w:tcMar>
              <w:top w:w="60" w:type="dxa"/>
              <w:left w:w="70" w:type="dxa"/>
              <w:bottom w:w="60" w:type="dxa"/>
              <w:right w:w="70" w:type="dxa"/>
            </w:tcMar>
          </w:tcPr>
          <w:p>
            <w:pPr>
              <w:pStyle w:val="CadEETableStyle"/>
            </w:pPr>
            <w:r>
              <w:t>0</w:t>
            </w:r>
          </w:p>
        </w:tc>
        <w:tc>
          <w:tcPr>
            <w:tcW w:w="1672" w:type="dxa"/>
            <w:vAlign w:val="center"/>
            <w:tcMar>
              <w:top w:w="60" w:type="dxa"/>
              <w:left w:w="70" w:type="dxa"/>
              <w:bottom w:w="60" w:type="dxa"/>
              <w:right w:w="70" w:type="dxa"/>
            </w:tcMar>
          </w:tcPr>
          <w:p>
            <w:pPr>
              <w:pStyle w:val="CadEETableStyle"/>
            </w:pPr>
            <w:r>
              <w:t>-</w:t>
            </w:r>
          </w:p>
        </w:tc>
      </w:tr>
      <w:tr>
        <w:tc>
          <w:tcPr>
            <w:tcW w:w="760" w:type="dxa"/>
            <w:vAlign w:val="center"/>
            <w:tcMar>
              <w:top w:w="60" w:type="dxa"/>
              <w:left w:w="70" w:type="dxa"/>
              <w:bottom w:w="60" w:type="dxa"/>
              <w:right w:w="70" w:type="dxa"/>
            </w:tcMar>
          </w:tcPr>
          <w:p>
            <w:pPr>
              <w:pStyle w:val="CadEETableStyle"/>
            </w:pPr>
            <w:r>
              <w:t>11</w:t>
            </w:r>
          </w:p>
        </w:tc>
        <w:tc>
          <w:tcPr>
            <w:tcW w:w="1064" w:type="dxa"/>
            <w:vAlign w:val="center"/>
            <w:tcMar>
              <w:top w:w="60" w:type="dxa"/>
              <w:left w:w="70" w:type="dxa"/>
              <w:bottom w:w="60" w:type="dxa"/>
              <w:right w:w="70" w:type="dxa"/>
            </w:tcMar>
          </w:tcPr>
          <w:p>
            <w:pPr>
              <w:pStyle w:val="CadEETableStyle"/>
            </w:pPr>
            <w:r>
              <w:t>1/4</w:t>
            </w:r>
          </w:p>
        </w:tc>
        <w:tc>
          <w:tcPr>
            <w:tcW w:w="760" w:type="dxa"/>
            <w:vAlign w:val="center"/>
            <w:tcMar>
              <w:top w:w="60" w:type="dxa"/>
              <w:left w:w="70" w:type="dxa"/>
              <w:bottom w:w="60" w:type="dxa"/>
              <w:right w:w="70" w:type="dxa"/>
            </w:tcMar>
          </w:tcPr>
          <w:p>
            <w:pPr>
              <w:pStyle w:val="CadEETableStyle"/>
            </w:pPr>
            <w:r>
              <w:t>0.0500</w:t>
            </w:r>
          </w:p>
        </w:tc>
        <w:tc>
          <w:tcPr>
            <w:tcW w:w="760" w:type="dxa"/>
            <w:vAlign w:val="center"/>
            <w:tcMar>
              <w:top w:w="60" w:type="dxa"/>
              <w:left w:w="70" w:type="dxa"/>
              <w:bottom w:w="60" w:type="dxa"/>
              <w:right w:w="70" w:type="dxa"/>
            </w:tcMar>
          </w:tcPr>
          <w:p>
            <w:pPr>
              <w:pStyle w:val="CadEETableStyle"/>
            </w:pPr>
            <w:r>
              <w:t>0.4500</w:t>
            </w:r>
          </w:p>
        </w:tc>
        <w:tc>
          <w:tcPr>
            <w:tcW w:w="760" w:type="dxa"/>
            <w:vAlign w:val="center"/>
            <w:tcMar>
              <w:top w:w="60" w:type="dxa"/>
              <w:left w:w="70" w:type="dxa"/>
              <w:bottom w:w="60" w:type="dxa"/>
              <w:right w:w="70" w:type="dxa"/>
            </w:tcMar>
          </w:tcPr>
          <w:p>
            <w:pPr>
              <w:pStyle w:val="CadEETableStyle"/>
            </w:pPr>
            <w:r>
              <w:t>0.1000</w:t>
            </w:r>
          </w:p>
        </w:tc>
        <w:tc>
          <w:tcPr>
            <w:tcW w:w="760" w:type="dxa"/>
            <w:vAlign w:val="center"/>
            <w:tcMar>
              <w:top w:w="60" w:type="dxa"/>
              <w:left w:w="70" w:type="dxa"/>
              <w:bottom w:w="60" w:type="dxa"/>
              <w:right w:w="70" w:type="dxa"/>
            </w:tcMar>
          </w:tcPr>
          <w:p>
            <w:pPr>
              <w:pStyle w:val="CadEETableStyle"/>
            </w:pPr>
            <w:r>
              <w:t>0.6000</w:t>
            </w:r>
          </w:p>
        </w:tc>
        <w:tc>
          <w:tcPr>
            <w:tcW w:w="1064" w:type="dxa"/>
            <w:vAlign w:val="center"/>
            <w:tcMar>
              <w:top w:w="60" w:type="dxa"/>
              <w:left w:w="70" w:type="dxa"/>
              <w:bottom w:w="60" w:type="dxa"/>
              <w:right w:w="70" w:type="dxa"/>
            </w:tcMar>
          </w:tcPr>
          <w:p>
            <w:pPr>
              <w:pStyle w:val="CadEETableStyle"/>
            </w:pPr>
            <w:r>
              <w:t>21.0900</w:t>
            </w:r>
          </w:p>
        </w:tc>
        <w:tc>
          <w:tcPr>
            <w:tcW w:w="912" w:type="dxa"/>
            <w:vAlign w:val="center"/>
            <w:tcMar>
              <w:top w:w="60" w:type="dxa"/>
              <w:left w:w="70" w:type="dxa"/>
              <w:bottom w:w="60" w:type="dxa"/>
              <w:right w:w="70" w:type="dxa"/>
            </w:tcMar>
          </w:tcPr>
          <w:p>
            <w:pPr>
              <w:pStyle w:val="CadEETableStyle"/>
            </w:pPr>
            <w:r>
              <w:t>0.000000</w:t>
            </w:r>
          </w:p>
        </w:tc>
        <w:tc>
          <w:tcPr>
            <w:tcW w:w="912" w:type="dxa"/>
            <w:vAlign w:val="center"/>
            <w:tcMar>
              <w:top w:w="60" w:type="dxa"/>
              <w:left w:w="70" w:type="dxa"/>
              <w:bottom w:w="60" w:type="dxa"/>
              <w:right w:w="70" w:type="dxa"/>
            </w:tcMar>
          </w:tcPr>
          <w:p>
            <w:pPr>
              <w:pStyle w:val="CadEETableStyle"/>
            </w:pPr>
            <w:r>
              <w:t>0.150000</w:t>
            </w:r>
          </w:p>
        </w:tc>
        <w:tc>
          <w:tcPr>
            <w:tcW w:w="912" w:type="dxa"/>
            <w:vAlign w:val="center"/>
            <w:tcMar>
              <w:top w:w="60" w:type="dxa"/>
              <w:left w:w="70" w:type="dxa"/>
              <w:bottom w:w="60" w:type="dxa"/>
              <w:right w:w="70" w:type="dxa"/>
            </w:tcMar>
          </w:tcPr>
          <w:p>
            <w:pPr>
              <w:pStyle w:val="CadEETableStyle"/>
            </w:pPr>
            <w:r>
              <w:t>0</w:t>
            </w:r>
          </w:p>
        </w:tc>
        <w:tc>
          <w:tcPr>
            <w:tcW w:w="1672" w:type="dxa"/>
            <w:vAlign w:val="center"/>
            <w:tcMar>
              <w:top w:w="60" w:type="dxa"/>
              <w:left w:w="70" w:type="dxa"/>
              <w:bottom w:w="60" w:type="dxa"/>
              <w:right w:w="70" w:type="dxa"/>
            </w:tcMar>
          </w:tcPr>
          <w:p>
            <w:pPr>
              <w:pStyle w:val="CadEETableStyle"/>
            </w:pPr>
            <w:r>
              <w:t>-</w:t>
            </w:r>
          </w:p>
        </w:tc>
      </w:tr>
      <w:tr>
        <w:tc>
          <w:tcPr>
            <w:tcW w:w="760" w:type="dxa"/>
            <w:vAlign w:val="center"/>
            <w:tcMar>
              <w:top w:w="60" w:type="dxa"/>
              <w:left w:w="70" w:type="dxa"/>
              <w:bottom w:w="60" w:type="dxa"/>
              <w:right w:w="70" w:type="dxa"/>
            </w:tcMar>
          </w:tcPr>
          <w:p>
            <w:pPr>
              <w:pStyle w:val="CadEETableStyle"/>
            </w:pPr>
            <w:r>
              <w:t>12</w:t>
            </w:r>
          </w:p>
        </w:tc>
        <w:tc>
          <w:tcPr>
            <w:tcW w:w="1064" w:type="dxa"/>
            <w:vAlign w:val="center"/>
            <w:tcMar>
              <w:top w:w="60" w:type="dxa"/>
              <w:left w:w="70" w:type="dxa"/>
              <w:bottom w:w="60" w:type="dxa"/>
              <w:right w:w="70" w:type="dxa"/>
            </w:tcMar>
          </w:tcPr>
          <w:p>
            <w:pPr>
              <w:pStyle w:val="CadEETableStyle"/>
            </w:pPr>
            <w:r>
              <w:t>1/5</w:t>
            </w:r>
          </w:p>
        </w:tc>
        <w:tc>
          <w:tcPr>
            <w:tcW w:w="760" w:type="dxa"/>
            <w:vAlign w:val="center"/>
            <w:tcMar>
              <w:top w:w="60" w:type="dxa"/>
              <w:left w:w="70" w:type="dxa"/>
              <w:bottom w:w="60" w:type="dxa"/>
              <w:right w:w="70" w:type="dxa"/>
            </w:tcMar>
          </w:tcPr>
          <w:p>
            <w:pPr>
              <w:pStyle w:val="CadEETableStyle"/>
            </w:pPr>
            <w:r>
              <w:t>0.0500</w:t>
            </w:r>
          </w:p>
        </w:tc>
        <w:tc>
          <w:tcPr>
            <w:tcW w:w="760" w:type="dxa"/>
            <w:vAlign w:val="center"/>
            <w:tcMar>
              <w:top w:w="60" w:type="dxa"/>
              <w:left w:w="70" w:type="dxa"/>
              <w:bottom w:w="60" w:type="dxa"/>
              <w:right w:w="70" w:type="dxa"/>
            </w:tcMar>
          </w:tcPr>
          <w:p>
            <w:pPr>
              <w:pStyle w:val="CadEETableStyle"/>
            </w:pPr>
            <w:r>
              <w:t>0.6000</w:t>
            </w:r>
          </w:p>
        </w:tc>
        <w:tc>
          <w:tcPr>
            <w:tcW w:w="760" w:type="dxa"/>
            <w:vAlign w:val="center"/>
            <w:tcMar>
              <w:top w:w="60" w:type="dxa"/>
              <w:left w:w="70" w:type="dxa"/>
              <w:bottom w:w="60" w:type="dxa"/>
              <w:right w:w="70" w:type="dxa"/>
            </w:tcMar>
          </w:tcPr>
          <w:p>
            <w:pPr>
              <w:pStyle w:val="CadEETableStyle"/>
            </w:pPr>
            <w:r>
              <w:t>0.1000</w:t>
            </w:r>
          </w:p>
        </w:tc>
        <w:tc>
          <w:tcPr>
            <w:tcW w:w="760" w:type="dxa"/>
            <w:vAlign w:val="center"/>
            <w:tcMar>
              <w:top w:w="60" w:type="dxa"/>
              <w:left w:w="70" w:type="dxa"/>
              <w:bottom w:w="60" w:type="dxa"/>
              <w:right w:w="70" w:type="dxa"/>
            </w:tcMar>
          </w:tcPr>
          <w:p>
            <w:pPr>
              <w:pStyle w:val="CadEETableStyle"/>
            </w:pPr>
            <w:r>
              <w:t>0.7500</w:t>
            </w:r>
          </w:p>
        </w:tc>
        <w:tc>
          <w:tcPr>
            <w:tcW w:w="1064" w:type="dxa"/>
            <w:vAlign w:val="center"/>
            <w:tcMar>
              <w:top w:w="60" w:type="dxa"/>
              <w:left w:w="70" w:type="dxa"/>
              <w:bottom w:w="60" w:type="dxa"/>
              <w:right w:w="70" w:type="dxa"/>
            </w:tcMar>
          </w:tcPr>
          <w:p>
            <w:pPr>
              <w:pStyle w:val="CadEETableStyle"/>
            </w:pPr>
            <w:r>
              <w:t>21.1419</w:t>
            </w:r>
          </w:p>
        </w:tc>
        <w:tc>
          <w:tcPr>
            <w:tcW w:w="912" w:type="dxa"/>
            <w:vAlign w:val="center"/>
            <w:tcMar>
              <w:top w:w="60" w:type="dxa"/>
              <w:left w:w="70" w:type="dxa"/>
              <w:bottom w:w="60" w:type="dxa"/>
              <w:right w:w="70" w:type="dxa"/>
            </w:tcMar>
          </w:tcPr>
          <w:p>
            <w:pPr>
              <w:pStyle w:val="CadEETableStyle"/>
            </w:pPr>
            <w:r>
              <w:t>0.000000</w:t>
            </w:r>
          </w:p>
        </w:tc>
        <w:tc>
          <w:tcPr>
            <w:tcW w:w="912" w:type="dxa"/>
            <w:vAlign w:val="center"/>
            <w:tcMar>
              <w:top w:w="60" w:type="dxa"/>
              <w:left w:w="70" w:type="dxa"/>
              <w:bottom w:w="60" w:type="dxa"/>
              <w:right w:w="70" w:type="dxa"/>
            </w:tcMar>
          </w:tcPr>
          <w:p>
            <w:pPr>
              <w:pStyle w:val="CadEETableStyle"/>
            </w:pPr>
            <w:r>
              <w:t>0.150000</w:t>
            </w:r>
          </w:p>
        </w:tc>
        <w:tc>
          <w:tcPr>
            <w:tcW w:w="912" w:type="dxa"/>
            <w:vAlign w:val="center"/>
            <w:tcMar>
              <w:top w:w="60" w:type="dxa"/>
              <w:left w:w="70" w:type="dxa"/>
              <w:bottom w:w="60" w:type="dxa"/>
              <w:right w:w="70" w:type="dxa"/>
            </w:tcMar>
          </w:tcPr>
          <w:p>
            <w:pPr>
              <w:pStyle w:val="CadEETableStyle"/>
            </w:pPr>
            <w:r>
              <w:t>0</w:t>
            </w:r>
          </w:p>
        </w:tc>
        <w:tc>
          <w:tcPr>
            <w:tcW w:w="1672" w:type="dxa"/>
            <w:vAlign w:val="center"/>
            <w:tcMar>
              <w:top w:w="60" w:type="dxa"/>
              <w:left w:w="70" w:type="dxa"/>
              <w:bottom w:w="60" w:type="dxa"/>
              <w:right w:w="70" w:type="dxa"/>
            </w:tcMar>
          </w:tcPr>
          <w:p>
            <w:pPr>
              <w:pStyle w:val="CadEETableStyle"/>
            </w:pPr>
            <w:r>
              <w:t>-</w:t>
            </w:r>
          </w:p>
        </w:tc>
      </w:tr>
      <w:tr>
        <w:tc>
          <w:tcPr>
            <w:tcW w:w="760" w:type="dxa"/>
            <w:vAlign w:val="center"/>
            <w:tcMar>
              <w:top w:w="60" w:type="dxa"/>
              <w:left w:w="70" w:type="dxa"/>
              <w:bottom w:w="60" w:type="dxa"/>
              <w:right w:w="70" w:type="dxa"/>
            </w:tcMar>
          </w:tcPr>
          <w:p>
            <w:pPr>
              <w:pStyle w:val="CadEETableStyle"/>
            </w:pPr>
            <w:r>
              <w:t>13</w:t>
            </w:r>
          </w:p>
        </w:tc>
        <w:tc>
          <w:tcPr>
            <w:tcW w:w="1064" w:type="dxa"/>
            <w:vAlign w:val="center"/>
            <w:tcMar>
              <w:top w:w="60" w:type="dxa"/>
              <w:left w:w="70" w:type="dxa"/>
              <w:bottom w:w="60" w:type="dxa"/>
              <w:right w:w="70" w:type="dxa"/>
            </w:tcMar>
          </w:tcPr>
          <w:p>
            <w:pPr>
              <w:pStyle w:val="CadEETableStyle"/>
            </w:pPr>
            <w:r>
              <w:t>1/6</w:t>
            </w:r>
          </w:p>
        </w:tc>
        <w:tc>
          <w:tcPr>
            <w:tcW w:w="760" w:type="dxa"/>
            <w:vAlign w:val="center"/>
            <w:tcMar>
              <w:top w:w="60" w:type="dxa"/>
              <w:left w:w="70" w:type="dxa"/>
              <w:bottom w:w="60" w:type="dxa"/>
              <w:right w:w="70" w:type="dxa"/>
            </w:tcMar>
          </w:tcPr>
          <w:p>
            <w:pPr>
              <w:pStyle w:val="CadEETableStyle"/>
            </w:pPr>
            <w:r>
              <w:t>0.0500</w:t>
            </w:r>
          </w:p>
        </w:tc>
        <w:tc>
          <w:tcPr>
            <w:tcW w:w="760" w:type="dxa"/>
            <w:vAlign w:val="center"/>
            <w:tcMar>
              <w:top w:w="60" w:type="dxa"/>
              <w:left w:w="70" w:type="dxa"/>
              <w:bottom w:w="60" w:type="dxa"/>
              <w:right w:w="70" w:type="dxa"/>
            </w:tcMar>
          </w:tcPr>
          <w:p>
            <w:pPr>
              <w:pStyle w:val="CadEETableStyle"/>
            </w:pPr>
            <w:r>
              <w:t>0.7500</w:t>
            </w:r>
          </w:p>
        </w:tc>
        <w:tc>
          <w:tcPr>
            <w:tcW w:w="760" w:type="dxa"/>
            <w:vAlign w:val="center"/>
            <w:tcMar>
              <w:top w:w="60" w:type="dxa"/>
              <w:left w:w="70" w:type="dxa"/>
              <w:bottom w:w="60" w:type="dxa"/>
              <w:right w:w="70" w:type="dxa"/>
            </w:tcMar>
          </w:tcPr>
          <w:p>
            <w:pPr>
              <w:pStyle w:val="CadEETableStyle"/>
            </w:pPr>
            <w:r>
              <w:t>0.1000</w:t>
            </w:r>
          </w:p>
        </w:tc>
        <w:tc>
          <w:tcPr>
            <w:tcW w:w="760" w:type="dxa"/>
            <w:vAlign w:val="center"/>
            <w:tcMar>
              <w:top w:w="60" w:type="dxa"/>
              <w:left w:w="70" w:type="dxa"/>
              <w:bottom w:w="60" w:type="dxa"/>
              <w:right w:w="70" w:type="dxa"/>
            </w:tcMar>
          </w:tcPr>
          <w:p>
            <w:pPr>
              <w:pStyle w:val="CadEETableStyle"/>
            </w:pPr>
            <w:r>
              <w:t>0.8000</w:t>
            </w:r>
          </w:p>
        </w:tc>
        <w:tc>
          <w:tcPr>
            <w:tcW w:w="1064" w:type="dxa"/>
            <w:vAlign w:val="center"/>
            <w:tcMar>
              <w:top w:w="60" w:type="dxa"/>
              <w:left w:w="70" w:type="dxa"/>
              <w:bottom w:w="60" w:type="dxa"/>
              <w:right w:w="70" w:type="dxa"/>
            </w:tcMar>
          </w:tcPr>
          <w:p>
            <w:pPr>
              <w:pStyle w:val="CadEETableStyle"/>
            </w:pPr>
            <w:r>
              <w:t>20.6727</w:t>
            </w:r>
          </w:p>
        </w:tc>
        <w:tc>
          <w:tcPr>
            <w:tcW w:w="912" w:type="dxa"/>
            <w:vAlign w:val="center"/>
            <w:tcMar>
              <w:top w:w="60" w:type="dxa"/>
              <w:left w:w="70" w:type="dxa"/>
              <w:bottom w:w="60" w:type="dxa"/>
              <w:right w:w="70" w:type="dxa"/>
            </w:tcMar>
          </w:tcPr>
          <w:p>
            <w:pPr>
              <w:pStyle w:val="CadEETableStyle"/>
            </w:pPr>
            <w:r>
              <w:t>0.000000</w:t>
            </w:r>
          </w:p>
        </w:tc>
        <w:tc>
          <w:tcPr>
            <w:tcW w:w="912" w:type="dxa"/>
            <w:vAlign w:val="center"/>
            <w:tcMar>
              <w:top w:w="60" w:type="dxa"/>
              <w:left w:w="70" w:type="dxa"/>
              <w:bottom w:w="60" w:type="dxa"/>
              <w:right w:w="70" w:type="dxa"/>
            </w:tcMar>
          </w:tcPr>
          <w:p>
            <w:pPr>
              <w:pStyle w:val="CadEETableStyle"/>
            </w:pPr>
            <w:r>
              <w:t>0.050000</w:t>
            </w:r>
          </w:p>
        </w:tc>
        <w:tc>
          <w:tcPr>
            <w:tcW w:w="912" w:type="dxa"/>
            <w:vAlign w:val="center"/>
            <w:tcMar>
              <w:top w:w="60" w:type="dxa"/>
              <w:left w:w="70" w:type="dxa"/>
              <w:bottom w:w="60" w:type="dxa"/>
              <w:right w:w="70" w:type="dxa"/>
            </w:tcMar>
          </w:tcPr>
          <w:p>
            <w:pPr>
              <w:pStyle w:val="CadEETableStyle"/>
            </w:pPr>
            <w:r>
              <w:t>0</w:t>
            </w:r>
          </w:p>
        </w:tc>
        <w:tc>
          <w:tcPr>
            <w:tcW w:w="1672" w:type="dxa"/>
            <w:vAlign w:val="center"/>
            <w:tcMar>
              <w:top w:w="60" w:type="dxa"/>
              <w:left w:w="70" w:type="dxa"/>
              <w:bottom w:w="60" w:type="dxa"/>
              <w:right w:w="70" w:type="dxa"/>
            </w:tcMar>
          </w:tcPr>
          <w:p>
            <w:pPr>
              <w:pStyle w:val="CadEETableStyle"/>
            </w:pPr>
            <w:r>
              <w:t>-</w:t>
            </w:r>
          </w:p>
        </w:tc>
      </w:tr>
      <w:tr>
        <w:tc>
          <w:tcPr>
            <w:tcW w:w="760" w:type="dxa"/>
            <w:vAlign w:val="center"/>
            <w:tcMar>
              <w:top w:w="60" w:type="dxa"/>
              <w:left w:w="70" w:type="dxa"/>
              <w:bottom w:w="60" w:type="dxa"/>
              <w:right w:w="70" w:type="dxa"/>
            </w:tcMar>
          </w:tcPr>
          <w:p>
            <w:pPr>
              <w:pStyle w:val="CadEETableStyle"/>
            </w:pPr>
            <w:r>
              <w:t/>
            </w:r>
          </w:p>
        </w:tc>
        <w:tc>
          <w:tcPr>
            <w:tcW w:w="1064" w:type="dxa"/>
            <w:vAlign w:val="center"/>
            <w:tcMar>
              <w:top w:w="60" w:type="dxa"/>
              <w:left w:w="70" w:type="dxa"/>
              <w:bottom w:w="60" w:type="dxa"/>
              <w:right w:w="70" w:type="dxa"/>
            </w:tcMar>
          </w:tcPr>
          <w:p>
            <w:pPr>
              <w:pStyle w:val="CadEETableStyle"/>
            </w:pPr>
            <w:r>
              <w:t>Σ конструкція Стіна</w:t>
            </w:r>
          </w:p>
        </w:tc>
        <w:tc>
          <w:tcPr>
            <w:tcW w:w="760" w:type="dxa"/>
            <w:vAlign w:val="center"/>
            <w:tcMar>
              <w:top w:w="60" w:type="dxa"/>
              <w:left w:w="70" w:type="dxa"/>
              <w:bottom w:w="60" w:type="dxa"/>
              <w:right w:w="70" w:type="dxa"/>
            </w:tcMar>
          </w:tcPr>
          <w:p>
            <w:pPr>
              <w:pStyle w:val="CadEETableStyle"/>
            </w:pPr>
            <w:r>
              <w:t/>
            </w:r>
          </w:p>
        </w:tc>
        <w:tc>
          <w:tcPr>
            <w:tcW w:w="760" w:type="dxa"/>
            <w:vAlign w:val="center"/>
            <w:tcMar>
              <w:top w:w="60" w:type="dxa"/>
              <w:left w:w="70" w:type="dxa"/>
              <w:bottom w:w="60" w:type="dxa"/>
              <w:right w:w="70" w:type="dxa"/>
            </w:tcMar>
          </w:tcPr>
          <w:p>
            <w:pPr>
              <w:pStyle w:val="CadEETableStyle"/>
            </w:pPr>
            <w:r>
              <w:t/>
            </w:r>
          </w:p>
        </w:tc>
        <w:tc>
          <w:tcPr>
            <w:tcW w:w="760" w:type="dxa"/>
            <w:vAlign w:val="center"/>
            <w:tcMar>
              <w:top w:w="60" w:type="dxa"/>
              <w:left w:w="70" w:type="dxa"/>
              <w:bottom w:w="60" w:type="dxa"/>
              <w:right w:w="70" w:type="dxa"/>
            </w:tcMar>
          </w:tcPr>
          <w:p>
            <w:pPr>
              <w:pStyle w:val="CadEETableStyle"/>
            </w:pPr>
            <w:r>
              <w:t/>
            </w:r>
          </w:p>
        </w:tc>
        <w:tc>
          <w:tcPr>
            <w:tcW w:w="760" w:type="dxa"/>
            <w:vAlign w:val="center"/>
            <w:tcMar>
              <w:top w:w="60" w:type="dxa"/>
              <w:left w:w="70" w:type="dxa"/>
              <w:bottom w:w="60" w:type="dxa"/>
              <w:right w:w="70" w:type="dxa"/>
            </w:tcMar>
          </w:tcPr>
          <w:p>
            <w:pPr>
              <w:pStyle w:val="CadEETableStyle"/>
            </w:pPr>
            <w:r>
              <w:t/>
            </w:r>
          </w:p>
        </w:tc>
        <w:tc>
          <w:tcPr>
            <w:tcW w:w="1064" w:type="dxa"/>
            <w:vAlign w:val="center"/>
            <w:tcMar>
              <w:top w:w="60" w:type="dxa"/>
              <w:left w:w="70" w:type="dxa"/>
              <w:bottom w:w="60" w:type="dxa"/>
              <w:right w:w="70" w:type="dxa"/>
            </w:tcMar>
          </w:tcPr>
          <w:p>
            <w:pPr>
              <w:pStyle w:val="CadEETableStyle"/>
            </w:pPr>
            <w:r>
              <w:t/>
            </w:r>
          </w:p>
        </w:tc>
        <w:tc>
          <w:tcPr>
            <w:tcW w:w="912" w:type="dxa"/>
            <w:vAlign w:val="center"/>
            <w:tcMar>
              <w:top w:w="60" w:type="dxa"/>
              <w:left w:w="70" w:type="dxa"/>
              <w:bottom w:w="60" w:type="dxa"/>
              <w:right w:w="70" w:type="dxa"/>
            </w:tcMar>
          </w:tcPr>
          <w:p>
            <w:pPr>
              <w:pStyle w:val="CadEETableStyle"/>
            </w:pPr>
            <w:r>
              <w:t>0.800000</w:t>
            </w:r>
          </w:p>
        </w:tc>
        <w:tc>
          <w:tcPr>
            <w:tcW w:w="912" w:type="dxa"/>
            <w:vAlign w:val="center"/>
            <w:tcMar>
              <w:top w:w="60" w:type="dxa"/>
              <w:left w:w="70" w:type="dxa"/>
              <w:bottom w:w="60" w:type="dxa"/>
              <w:right w:w="70" w:type="dxa"/>
            </w:tcMar>
          </w:tcPr>
          <w:p>
            <w:pPr>
              <w:pStyle w:val="CadEETableStyle"/>
            </w:pPr>
            <w:r>
              <w:t>0.800000</w:t>
            </w:r>
          </w:p>
        </w:tc>
        <w:tc>
          <w:tcPr>
            <w:tcW w:w="912" w:type="dxa"/>
            <w:vAlign w:val="center"/>
            <w:tcMar>
              <w:top w:w="60" w:type="dxa"/>
              <w:left w:w="70" w:type="dxa"/>
              <w:bottom w:w="60" w:type="dxa"/>
              <w:right w:w="70" w:type="dxa"/>
            </w:tcMar>
          </w:tcPr>
          <w:p>
            <w:pPr>
              <w:pStyle w:val="CadEETableStyle"/>
            </w:pPr>
            <w:r>
              <w:t/>
            </w:r>
          </w:p>
        </w:tc>
        <w:tc>
          <w:tcPr>
            <w:tcW w:w="1672" w:type="dxa"/>
            <w:vAlign w:val="center"/>
            <w:tcMar>
              <w:top w:w="60" w:type="dxa"/>
              <w:left w:w="70" w:type="dxa"/>
              <w:bottom w:w="60" w:type="dxa"/>
              <w:right w:w="70" w:type="dxa"/>
            </w:tcMar>
          </w:tcPr>
          <w:p>
            <w:pPr>
              <w:pStyle w:val="CadEETableStyle"/>
            </w:pPr>
            <w:r>
              <w:t/>
            </w:r>
          </w:p>
        </w:tc>
      </w:tr>
    </w:tbl>
    <w:p>
      <w:pPr>
        <w:spacing w:before="0" w:after="0" w:line="80" w:lineRule="exact"/>
      </w:pPr>
    </w:p>
    <w:p>
      <w:pPr>
        <w:pStyle w:val="CadEETableCaption"/>
      </w:pPr>
      <w:r>
        <w:t xml:space="preserve">Таблиця №</w:t>
      </w:r>
      <w:bookmarkStart w:id="198" w:name="CadEE_Target_198"/>
      <w:r>
        <w:fldChar w:fldCharType="begin"/>
      </w:r>
      <w:r>
        <w:instrText xml:space="preserve"> SEQ CadEE_Table \* ARABIC </w:instrText>
      </w:r>
      <w:r>
        <w:fldChar w:fldCharType="separate"/>
      </w:r>
      <w:r>
        <w:t xml:space="preserve">1.1.5</w:t>
      </w:r>
      <w:r>
        <w:fldChar w:fldCharType="end"/>
      </w:r>
      <w:bookmarkEnd w:id="198"/>
      <w:r>
        <w:t xml:space="preserve">. Активні граничні грані FEM-моделі</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969"/>
        <w:gridCol w:w="807"/>
        <w:gridCol w:w="646"/>
        <w:gridCol w:w="646"/>
        <w:gridCol w:w="646"/>
        <w:gridCol w:w="807"/>
        <w:gridCol w:w="807"/>
        <w:gridCol w:w="807"/>
        <w:gridCol w:w="807"/>
        <w:gridCol w:w="807"/>
        <w:gridCol w:w="807"/>
        <w:gridCol w:w="807"/>
        <w:gridCol w:w="969"/>
      </w:tblGrid>
      <w:tr>
        <w:trPr>
          <w:tblHeader/>
        </w:trPr>
        <w:tc>
          <w:tcPr>
            <w:tcW w:w="969" w:type="dxa"/>
            <w:vAlign w:val="center"/>
            <w:tcMar>
              <w:top w:w="60" w:type="dxa"/>
              <w:left w:w="70" w:type="dxa"/>
              <w:bottom w:w="60" w:type="dxa"/>
              <w:right w:w="70" w:type="dxa"/>
            </w:tcMar>
            <w:shd w:val="clear" w:color="auto" w:fill="EDEDED"/>
          </w:tcPr>
          <w:p>
            <w:pPr>
              <w:pStyle w:val="CadEETableHeadStyle"/>
            </w:pPr>
            <w:r>
              <w:rPr>
                <w:b/>
              </w:rPr>
              <w:t>Рядок</w:t>
            </w:r>
          </w:p>
        </w:tc>
        <w:tc>
          <w:tcPr>
            <w:tcW w:w="807" w:type="dxa"/>
            <w:vAlign w:val="center"/>
            <w:tcMar>
              <w:top w:w="60" w:type="dxa"/>
              <w:left w:w="70" w:type="dxa"/>
              <w:bottom w:w="60" w:type="dxa"/>
              <w:right w:w="70" w:type="dxa"/>
            </w:tcMar>
            <w:shd w:val="clear" w:color="auto" w:fill="EDEDED"/>
          </w:tcPr>
          <w:p>
            <w:pPr>
              <w:pStyle w:val="CadEETableHeadStyle"/>
            </w:pPr>
            <w:r>
              <w:rPr>
                <w:b/>
              </w:rPr>
              <w:t>Елемент</w:t>
            </w:r>
          </w:p>
        </w:tc>
        <w:tc>
          <w:tcPr>
            <w:tcW w:w="646" w:type="dxa"/>
            <w:vAlign w:val="center"/>
            <w:tcMar>
              <w:top w:w="60" w:type="dxa"/>
              <w:left w:w="70" w:type="dxa"/>
              <w:bottom w:w="60" w:type="dxa"/>
              <w:right w:w="70" w:type="dxa"/>
            </w:tcMar>
            <w:shd w:val="clear" w:color="auto" w:fill="EDEDED"/>
          </w:tcPr>
          <w:p>
            <w:pPr>
              <w:pStyle w:val="CadEETableHeadStyle"/>
            </w:pPr>
            <w:r>
              <w:rPr>
                <w:b/>
              </w:rPr>
              <w:t>Грань</w:t>
            </w:r>
          </w:p>
        </w:tc>
        <w:tc>
          <w:tcPr>
            <w:tcW w:w="646" w:type="dxa"/>
            <w:vAlign w:val="center"/>
            <w:tcMar>
              <w:top w:w="60" w:type="dxa"/>
              <w:left w:w="70" w:type="dxa"/>
              <w:bottom w:w="60" w:type="dxa"/>
              <w:right w:w="70" w:type="dxa"/>
            </w:tcMar>
            <w:shd w:val="clear" w:color="auto" w:fill="EDEDED"/>
          </w:tcPr>
          <w:p>
            <w:pPr>
              <w:pStyle w:val="CadEETableHeadStyle"/>
            </w:pPr>
            <w:r>
              <w:rPr>
                <w:b/>
              </w:rPr>
              <w:t>Вуз. 1</w:t>
            </w:r>
          </w:p>
        </w:tc>
        <w:tc>
          <w:tcPr>
            <w:tcW w:w="646" w:type="dxa"/>
            <w:vAlign w:val="center"/>
            <w:tcMar>
              <w:top w:w="60" w:type="dxa"/>
              <w:left w:w="70" w:type="dxa"/>
              <w:bottom w:w="60" w:type="dxa"/>
              <w:right w:w="70" w:type="dxa"/>
            </w:tcMar>
            <w:shd w:val="clear" w:color="auto" w:fill="EDEDED"/>
          </w:tcPr>
          <w:p>
            <w:pPr>
              <w:pStyle w:val="CadEETableHeadStyle"/>
            </w:pPr>
            <w:r>
              <w:rPr>
                <w:b/>
              </w:rPr>
              <w:t>Вуз. 2</w:t>
            </w:r>
          </w:p>
        </w:tc>
        <w:tc>
          <w:tcPr>
            <w:tcW w:w="807" w:type="dxa"/>
            <w:vAlign w:val="center"/>
            <w:tcMar>
              <w:top w:w="60" w:type="dxa"/>
              <w:left w:w="70" w:type="dxa"/>
              <w:bottom w:w="60" w:type="dxa"/>
              <w:right w:w="70" w:type="dxa"/>
            </w:tcMar>
            <w:shd w:val="clear" w:color="auto" w:fill="EDEDED"/>
          </w:tcPr>
          <w:p>
            <w:pPr>
              <w:pStyle w:val="CadEETableHeadStyle"/>
            </w:pPr>
            <w:r>
              <w:rPr>
                <w:b/>
              </w:rPr>
              <w:t>t1, °C</w:t>
            </w:r>
          </w:p>
        </w:tc>
        <w:tc>
          <w:tcPr>
            <w:tcW w:w="807" w:type="dxa"/>
            <w:vAlign w:val="center"/>
            <w:tcMar>
              <w:top w:w="60" w:type="dxa"/>
              <w:left w:w="70" w:type="dxa"/>
              <w:bottom w:w="60" w:type="dxa"/>
              <w:right w:w="70" w:type="dxa"/>
            </w:tcMar>
            <w:shd w:val="clear" w:color="auto" w:fill="EDEDED"/>
          </w:tcPr>
          <w:p>
            <w:pPr>
              <w:pStyle w:val="CadEETableHeadStyle"/>
            </w:pPr>
            <w:r>
              <w:rPr>
                <w:b/>
              </w:rPr>
              <w:t>t2, °C</w:t>
            </w:r>
          </w:p>
        </w:tc>
        <w:tc>
          <w:tcPr>
            <w:tcW w:w="807" w:type="dxa"/>
            <w:vAlign w:val="center"/>
            <w:tcMar>
              <w:top w:w="60" w:type="dxa"/>
              <w:left w:w="70" w:type="dxa"/>
              <w:bottom w:w="60" w:type="dxa"/>
              <w:right w:w="70" w:type="dxa"/>
            </w:tcMar>
            <w:shd w:val="clear" w:color="auto" w:fill="EDEDED"/>
          </w:tcPr>
          <w:p>
            <w:pPr>
              <w:pStyle w:val="CadEETableHeadStyle"/>
            </w:pPr>
            <w:r>
              <w:rPr>
                <w:b/>
              </w:rPr>
              <w:t>t_avg, °C</w:t>
            </w:r>
          </w:p>
        </w:tc>
        <w:tc>
          <w:tcPr>
            <w:tcW w:w="807" w:type="dxa"/>
            <w:vAlign w:val="center"/>
            <w:tcMar>
              <w:top w:w="60" w:type="dxa"/>
              <w:left w:w="70" w:type="dxa"/>
              <w:bottom w:w="60" w:type="dxa"/>
              <w:right w:w="70" w:type="dxa"/>
            </w:tcMar>
            <w:shd w:val="clear" w:color="auto" w:fill="EDEDED"/>
          </w:tcPr>
          <w:p>
            <w:pPr>
              <w:pStyle w:val="CadEETableHeadStyle"/>
            </w:pPr>
            <w:r>
              <w:rPr>
                <w:b/>
              </w:rPr>
              <w:t>t_amb, °C</w:t>
            </w:r>
          </w:p>
        </w:tc>
        <w:tc>
          <w:tcPr>
            <w:tcW w:w="807" w:type="dxa"/>
            <w:vAlign w:val="center"/>
            <w:tcMar>
              <w:top w:w="60" w:type="dxa"/>
              <w:left w:w="70" w:type="dxa"/>
              <w:bottom w:w="60" w:type="dxa"/>
              <w:right w:w="70" w:type="dxa"/>
            </w:tcMar>
            <w:shd w:val="clear" w:color="auto" w:fill="EDEDED"/>
          </w:tcPr>
          <w:p>
            <w:pPr>
              <w:pStyle w:val="CadEETableHeadStyle"/>
            </w:pPr>
            <w:r>
              <w:rPr>
                <w:b/>
              </w:rPr>
              <w:t>h, Вт/(м²·К)</w:t>
            </w:r>
          </w:p>
        </w:tc>
        <w:tc>
          <w:tcPr>
            <w:tcW w:w="807" w:type="dxa"/>
            <w:vAlign w:val="center"/>
            <w:tcMar>
              <w:top w:w="60" w:type="dxa"/>
              <w:left w:w="70" w:type="dxa"/>
              <w:bottom w:w="60" w:type="dxa"/>
              <w:right w:w="70" w:type="dxa"/>
            </w:tcMar>
            <w:shd w:val="clear" w:color="auto" w:fill="EDEDED"/>
          </w:tcPr>
          <w:p>
            <w:pPr>
              <w:pStyle w:val="CadEETableHeadStyle"/>
            </w:pPr>
            <w:r>
              <w:rPr>
                <w:b/>
              </w:rPr>
              <w:t>L_face, м</w:t>
            </w:r>
          </w:p>
        </w:tc>
        <w:tc>
          <w:tcPr>
            <w:tcW w:w="807" w:type="dxa"/>
            <w:vAlign w:val="center"/>
            <w:tcMar>
              <w:top w:w="60" w:type="dxa"/>
              <w:left w:w="70" w:type="dxa"/>
              <w:bottom w:w="60" w:type="dxa"/>
              <w:right w:w="70" w:type="dxa"/>
            </w:tcMar>
            <w:shd w:val="clear" w:color="auto" w:fill="EDEDED"/>
          </w:tcPr>
          <w:p>
            <w:pPr>
              <w:pStyle w:val="CadEETableHeadStyle"/>
            </w:pPr>
            <w:r>
              <w:rPr>
                <w:b/>
              </w:rPr>
              <w:t>ΔT, К</w:t>
            </w:r>
          </w:p>
        </w:tc>
        <w:tc>
          <w:tcPr>
            <w:tcW w:w="969" w:type="dxa"/>
            <w:vAlign w:val="center"/>
            <w:tcMar>
              <w:top w:w="60" w:type="dxa"/>
              <w:left w:w="70" w:type="dxa"/>
              <w:bottom w:w="60" w:type="dxa"/>
              <w:right w:w="70" w:type="dxa"/>
            </w:tcMar>
            <w:shd w:val="clear" w:color="auto" w:fill="EDEDED"/>
          </w:tcPr>
          <w:p>
            <w:pPr>
              <w:pStyle w:val="CadEETableHeadStyle"/>
            </w:pPr>
            <w:r>
              <w:rPr>
                <w:b/>
              </w:rPr>
              <w:t>q_face, Вт/м</w:t>
            </w:r>
          </w:p>
        </w:tc>
      </w:tr>
      <w:tr>
        <w:tc>
          <w:tcPr>
            <w:tcW w:w="969" w:type="dxa"/>
            <w:vAlign w:val="center"/>
            <w:tcMar>
              <w:top w:w="60" w:type="dxa"/>
              <w:left w:w="70" w:type="dxa"/>
              <w:bottom w:w="60" w:type="dxa"/>
              <w:right w:w="70" w:type="dxa"/>
            </w:tcMar>
          </w:tcPr>
          <w:p>
            <w:pPr>
              <w:pStyle w:val="CadEETableStyle"/>
            </w:pPr>
            <w:r>
              <w:t>A.0.3-1</w:t>
            </w:r>
          </w:p>
        </w:tc>
        <w:tc>
          <w:tcPr>
            <w:tcW w:w="807" w:type="dxa"/>
            <w:vAlign w:val="center"/>
            <w:tcMar>
              <w:top w:w="60" w:type="dxa"/>
              <w:left w:w="70" w:type="dxa"/>
              <w:bottom w:w="60" w:type="dxa"/>
              <w:right w:w="70" w:type="dxa"/>
            </w:tcMar>
          </w:tcPr>
          <w:p>
            <w:pPr>
              <w:pStyle w:val="CadEETableStyle"/>
            </w:pPr>
            <w:r>
              <w:t>0</w:t>
            </w:r>
          </w:p>
        </w:tc>
        <w:tc>
          <w:tcPr>
            <w:tcW w:w="646" w:type="dxa"/>
            <w:vAlign w:val="center"/>
            <w:tcMar>
              <w:top w:w="60" w:type="dxa"/>
              <w:left w:w="70" w:type="dxa"/>
              <w:bottom w:w="60" w:type="dxa"/>
              <w:right w:w="70" w:type="dxa"/>
            </w:tcMar>
          </w:tcPr>
          <w:p>
            <w:pPr>
              <w:pStyle w:val="CadEETableStyle"/>
            </w:pPr>
            <w:r>
              <w:t>3</w:t>
            </w:r>
          </w:p>
        </w:tc>
        <w:tc>
          <w:tcPr>
            <w:tcW w:w="646" w:type="dxa"/>
            <w:vAlign w:val="center"/>
            <w:tcMar>
              <w:top w:w="60" w:type="dxa"/>
              <w:left w:w="70" w:type="dxa"/>
              <w:bottom w:w="60" w:type="dxa"/>
              <w:right w:w="70" w:type="dxa"/>
            </w:tcMar>
          </w:tcPr>
          <w:p>
            <w:pPr>
              <w:pStyle w:val="CadEETableStyle"/>
            </w:pPr>
            <w:r>
              <w:t>1</w:t>
            </w:r>
          </w:p>
        </w:tc>
        <w:tc>
          <w:tcPr>
            <w:tcW w:w="646" w:type="dxa"/>
            <w:vAlign w:val="center"/>
            <w:tcMar>
              <w:top w:w="60" w:type="dxa"/>
              <w:left w:w="70" w:type="dxa"/>
              <w:bottom w:w="60" w:type="dxa"/>
              <w:right w:w="70" w:type="dxa"/>
            </w:tcMar>
          </w:tcPr>
          <w:p>
            <w:pPr>
              <w:pStyle w:val="CadEETableStyle"/>
            </w:pPr>
            <w:r>
              <w:t>0</w:t>
            </w:r>
          </w:p>
        </w:tc>
        <w:tc>
          <w:tcPr>
            <w:tcW w:w="807" w:type="dxa"/>
            <w:vAlign w:val="center"/>
            <w:tcMar>
              <w:top w:w="60" w:type="dxa"/>
              <w:left w:w="70" w:type="dxa"/>
              <w:bottom w:w="60" w:type="dxa"/>
              <w:right w:w="70" w:type="dxa"/>
            </w:tcMar>
          </w:tcPr>
          <w:p>
            <w:pPr>
              <w:pStyle w:val="CadEETableStyle"/>
            </w:pPr>
            <w:r>
              <w:t>17.578582</w:t>
            </w:r>
          </w:p>
        </w:tc>
        <w:tc>
          <w:tcPr>
            <w:tcW w:w="807" w:type="dxa"/>
            <w:vAlign w:val="center"/>
            <w:tcMar>
              <w:top w:w="60" w:type="dxa"/>
              <w:left w:w="70" w:type="dxa"/>
              <w:bottom w:w="60" w:type="dxa"/>
              <w:right w:w="70" w:type="dxa"/>
            </w:tcMar>
          </w:tcPr>
          <w:p>
            <w:pPr>
              <w:pStyle w:val="CadEETableStyle"/>
            </w:pPr>
            <w:r>
              <w:t>17.754174</w:t>
            </w:r>
          </w:p>
        </w:tc>
        <w:tc>
          <w:tcPr>
            <w:tcW w:w="807" w:type="dxa"/>
            <w:vAlign w:val="center"/>
            <w:tcMar>
              <w:top w:w="60" w:type="dxa"/>
              <w:left w:w="70" w:type="dxa"/>
              <w:bottom w:w="60" w:type="dxa"/>
              <w:right w:w="70" w:type="dxa"/>
            </w:tcMar>
          </w:tcPr>
          <w:p>
            <w:pPr>
              <w:pStyle w:val="CadEETableStyle"/>
            </w:pPr>
            <w:r>
              <w:t>17.666378</w:t>
            </w:r>
          </w:p>
        </w:tc>
        <w:tc>
          <w:tcPr>
            <w:tcW w:w="807" w:type="dxa"/>
            <w:vAlign w:val="center"/>
            <w:tcMar>
              <w:top w:w="60" w:type="dxa"/>
              <w:left w:w="70" w:type="dxa"/>
              <w:bottom w:w="60" w:type="dxa"/>
              <w:right w:w="70" w:type="dxa"/>
            </w:tcMar>
          </w:tcPr>
          <w:p>
            <w:pPr>
              <w:pStyle w:val="CadEETableStyle"/>
            </w:pPr>
            <w:r>
              <w:t>20.000000</w:t>
            </w:r>
          </w:p>
        </w:tc>
        <w:tc>
          <w:tcPr>
            <w:tcW w:w="807" w:type="dxa"/>
            <w:vAlign w:val="center"/>
            <w:tcMar>
              <w:top w:w="60" w:type="dxa"/>
              <w:left w:w="70" w:type="dxa"/>
              <w:bottom w:w="60" w:type="dxa"/>
              <w:right w:w="70" w:type="dxa"/>
            </w:tcMar>
          </w:tcPr>
          <w:p>
            <w:pPr>
              <w:pStyle w:val="CadEETableStyle"/>
            </w:pPr>
            <w:r>
              <w:t>8.700000</w:t>
            </w:r>
          </w:p>
        </w:tc>
        <w:tc>
          <w:tcPr>
            <w:tcW w:w="807" w:type="dxa"/>
            <w:vAlign w:val="center"/>
            <w:tcMar>
              <w:top w:w="60" w:type="dxa"/>
              <w:left w:w="70" w:type="dxa"/>
              <w:bottom w:w="60" w:type="dxa"/>
              <w:right w:w="70" w:type="dxa"/>
            </w:tcMar>
          </w:tcPr>
          <w:p>
            <w:pPr>
              <w:pStyle w:val="CadEETableStyle"/>
            </w:pPr>
            <w:r>
              <w:t>0.050000</w:t>
            </w:r>
          </w:p>
        </w:tc>
        <w:tc>
          <w:tcPr>
            <w:tcW w:w="807" w:type="dxa"/>
            <w:vAlign w:val="center"/>
            <w:tcMar>
              <w:top w:w="60" w:type="dxa"/>
              <w:left w:w="70" w:type="dxa"/>
              <w:bottom w:w="60" w:type="dxa"/>
              <w:right w:w="70" w:type="dxa"/>
            </w:tcMar>
          </w:tcPr>
          <w:p>
            <w:pPr>
              <w:pStyle w:val="CadEETableStyle"/>
            </w:pPr>
            <w:r>
              <w:t>2.333622</w:t>
            </w:r>
          </w:p>
        </w:tc>
        <w:tc>
          <w:tcPr>
            <w:tcW w:w="969" w:type="dxa"/>
            <w:vAlign w:val="center"/>
            <w:tcMar>
              <w:top w:w="60" w:type="dxa"/>
              <w:left w:w="70" w:type="dxa"/>
              <w:bottom w:w="60" w:type="dxa"/>
              <w:right w:w="70" w:type="dxa"/>
            </w:tcMar>
          </w:tcPr>
          <w:p>
            <w:pPr>
              <w:pStyle w:val="CadEETableStyle"/>
            </w:pPr>
            <w:r>
              <w:t>1.015126</w:t>
            </w:r>
          </w:p>
        </w:tc>
      </w:tr>
      <w:tr>
        <w:tc>
          <w:tcPr>
            <w:tcW w:w="969" w:type="dxa"/>
            <w:vAlign w:val="center"/>
            <w:tcMar>
              <w:top w:w="60" w:type="dxa"/>
              <w:left w:w="70" w:type="dxa"/>
              <w:bottom w:w="60" w:type="dxa"/>
              <w:right w:w="70" w:type="dxa"/>
            </w:tcMar>
          </w:tcPr>
          <w:p>
            <w:pPr>
              <w:pStyle w:val="CadEETableStyle"/>
            </w:pPr>
            <w:r>
              <w:t>A.0.3-2</w:t>
            </w:r>
          </w:p>
        </w:tc>
        <w:tc>
          <w:tcPr>
            <w:tcW w:w="807" w:type="dxa"/>
            <w:vAlign w:val="center"/>
            <w:tcMar>
              <w:top w:w="60" w:type="dxa"/>
              <w:left w:w="70" w:type="dxa"/>
              <w:bottom w:w="60" w:type="dxa"/>
              <w:right w:w="70" w:type="dxa"/>
            </w:tcMar>
          </w:tcPr>
          <w:p>
            <w:pPr>
              <w:pStyle w:val="CadEETableStyle"/>
            </w:pPr>
            <w:r>
              <w:t>1</w:t>
            </w:r>
          </w:p>
        </w:tc>
        <w:tc>
          <w:tcPr>
            <w:tcW w:w="646" w:type="dxa"/>
            <w:vAlign w:val="center"/>
            <w:tcMar>
              <w:top w:w="60" w:type="dxa"/>
              <w:left w:w="70" w:type="dxa"/>
              <w:bottom w:w="60" w:type="dxa"/>
              <w:right w:w="70" w:type="dxa"/>
            </w:tcMar>
          </w:tcPr>
          <w:p>
            <w:pPr>
              <w:pStyle w:val="CadEETableStyle"/>
            </w:pPr>
            <w:r>
              <w:t>3</w:t>
            </w:r>
          </w:p>
        </w:tc>
        <w:tc>
          <w:tcPr>
            <w:tcW w:w="646" w:type="dxa"/>
            <w:vAlign w:val="center"/>
            <w:tcMar>
              <w:top w:w="60" w:type="dxa"/>
              <w:left w:w="70" w:type="dxa"/>
              <w:bottom w:w="60" w:type="dxa"/>
              <w:right w:w="70" w:type="dxa"/>
            </w:tcMar>
          </w:tcPr>
          <w:p>
            <w:pPr>
              <w:pStyle w:val="CadEETableStyle"/>
            </w:pPr>
            <w:r>
              <w:t>2</w:t>
            </w:r>
          </w:p>
        </w:tc>
        <w:tc>
          <w:tcPr>
            <w:tcW w:w="646" w:type="dxa"/>
            <w:vAlign w:val="center"/>
            <w:tcMar>
              <w:top w:w="60" w:type="dxa"/>
              <w:left w:w="70" w:type="dxa"/>
              <w:bottom w:w="60" w:type="dxa"/>
              <w:right w:w="70" w:type="dxa"/>
            </w:tcMar>
          </w:tcPr>
          <w:p>
            <w:pPr>
              <w:pStyle w:val="CadEETableStyle"/>
            </w:pPr>
            <w:r>
              <w:t>1</w:t>
            </w:r>
          </w:p>
        </w:tc>
        <w:tc>
          <w:tcPr>
            <w:tcW w:w="807" w:type="dxa"/>
            <w:vAlign w:val="center"/>
            <w:tcMar>
              <w:top w:w="60" w:type="dxa"/>
              <w:left w:w="70" w:type="dxa"/>
              <w:bottom w:w="60" w:type="dxa"/>
              <w:right w:w="70" w:type="dxa"/>
            </w:tcMar>
          </w:tcPr>
          <w:p>
            <w:pPr>
              <w:pStyle w:val="CadEETableStyle"/>
            </w:pPr>
            <w:r>
              <w:t>17.526824</w:t>
            </w:r>
          </w:p>
        </w:tc>
        <w:tc>
          <w:tcPr>
            <w:tcW w:w="807" w:type="dxa"/>
            <w:vAlign w:val="center"/>
            <w:tcMar>
              <w:top w:w="60" w:type="dxa"/>
              <w:left w:w="70" w:type="dxa"/>
              <w:bottom w:w="60" w:type="dxa"/>
              <w:right w:w="70" w:type="dxa"/>
            </w:tcMar>
          </w:tcPr>
          <w:p>
            <w:pPr>
              <w:pStyle w:val="CadEETableStyle"/>
            </w:pPr>
            <w:r>
              <w:t>17.578582</w:t>
            </w:r>
          </w:p>
        </w:tc>
        <w:tc>
          <w:tcPr>
            <w:tcW w:w="807" w:type="dxa"/>
            <w:vAlign w:val="center"/>
            <w:tcMar>
              <w:top w:w="60" w:type="dxa"/>
              <w:left w:w="70" w:type="dxa"/>
              <w:bottom w:w="60" w:type="dxa"/>
              <w:right w:w="70" w:type="dxa"/>
            </w:tcMar>
          </w:tcPr>
          <w:p>
            <w:pPr>
              <w:pStyle w:val="CadEETableStyle"/>
            </w:pPr>
            <w:r>
              <w:t>17.552703</w:t>
            </w:r>
          </w:p>
        </w:tc>
        <w:tc>
          <w:tcPr>
            <w:tcW w:w="807" w:type="dxa"/>
            <w:vAlign w:val="center"/>
            <w:tcMar>
              <w:top w:w="60" w:type="dxa"/>
              <w:left w:w="70" w:type="dxa"/>
              <w:bottom w:w="60" w:type="dxa"/>
              <w:right w:w="70" w:type="dxa"/>
            </w:tcMar>
          </w:tcPr>
          <w:p>
            <w:pPr>
              <w:pStyle w:val="CadEETableStyle"/>
            </w:pPr>
            <w:r>
              <w:t>20.000000</w:t>
            </w:r>
          </w:p>
        </w:tc>
        <w:tc>
          <w:tcPr>
            <w:tcW w:w="807" w:type="dxa"/>
            <w:vAlign w:val="center"/>
            <w:tcMar>
              <w:top w:w="60" w:type="dxa"/>
              <w:left w:w="70" w:type="dxa"/>
              <w:bottom w:w="60" w:type="dxa"/>
              <w:right w:w="70" w:type="dxa"/>
            </w:tcMar>
          </w:tcPr>
          <w:p>
            <w:pPr>
              <w:pStyle w:val="CadEETableStyle"/>
            </w:pPr>
            <w:r>
              <w:t>8.700000</w:t>
            </w:r>
          </w:p>
        </w:tc>
        <w:tc>
          <w:tcPr>
            <w:tcW w:w="807" w:type="dxa"/>
            <w:vAlign w:val="center"/>
            <w:tcMar>
              <w:top w:w="60" w:type="dxa"/>
              <w:left w:w="70" w:type="dxa"/>
              <w:bottom w:w="60" w:type="dxa"/>
              <w:right w:w="70" w:type="dxa"/>
            </w:tcMar>
          </w:tcPr>
          <w:p>
            <w:pPr>
              <w:pStyle w:val="CadEETableStyle"/>
            </w:pPr>
            <w:r>
              <w:t>0.150000</w:t>
            </w:r>
          </w:p>
        </w:tc>
        <w:tc>
          <w:tcPr>
            <w:tcW w:w="807" w:type="dxa"/>
            <w:vAlign w:val="center"/>
            <w:tcMar>
              <w:top w:w="60" w:type="dxa"/>
              <w:left w:w="70" w:type="dxa"/>
              <w:bottom w:w="60" w:type="dxa"/>
              <w:right w:w="70" w:type="dxa"/>
            </w:tcMar>
          </w:tcPr>
          <w:p>
            <w:pPr>
              <w:pStyle w:val="CadEETableStyle"/>
            </w:pPr>
            <w:r>
              <w:t>2.447297</w:t>
            </w:r>
          </w:p>
        </w:tc>
        <w:tc>
          <w:tcPr>
            <w:tcW w:w="969" w:type="dxa"/>
            <w:vAlign w:val="center"/>
            <w:tcMar>
              <w:top w:w="60" w:type="dxa"/>
              <w:left w:w="70" w:type="dxa"/>
              <w:bottom w:w="60" w:type="dxa"/>
              <w:right w:w="70" w:type="dxa"/>
            </w:tcMar>
          </w:tcPr>
          <w:p>
            <w:pPr>
              <w:pStyle w:val="CadEETableStyle"/>
            </w:pPr>
            <w:r>
              <w:t>3.193723</w:t>
            </w:r>
          </w:p>
        </w:tc>
      </w:tr>
      <w:tr>
        <w:tc>
          <w:tcPr>
            <w:tcW w:w="969" w:type="dxa"/>
            <w:vAlign w:val="center"/>
            <w:tcMar>
              <w:top w:w="60" w:type="dxa"/>
              <w:left w:w="70" w:type="dxa"/>
              <w:bottom w:w="60" w:type="dxa"/>
              <w:right w:w="70" w:type="dxa"/>
            </w:tcMar>
          </w:tcPr>
          <w:p>
            <w:pPr>
              <w:pStyle w:val="CadEETableStyle"/>
            </w:pPr>
            <w:r>
              <w:t>A.0.3-3</w:t>
            </w:r>
          </w:p>
        </w:tc>
        <w:tc>
          <w:tcPr>
            <w:tcW w:w="807" w:type="dxa"/>
            <w:vAlign w:val="center"/>
            <w:tcMar>
              <w:top w:w="60" w:type="dxa"/>
              <w:left w:w="70" w:type="dxa"/>
              <w:bottom w:w="60" w:type="dxa"/>
              <w:right w:w="70" w:type="dxa"/>
            </w:tcMar>
          </w:tcPr>
          <w:p>
            <w:pPr>
              <w:pStyle w:val="CadEETableStyle"/>
            </w:pPr>
            <w:r>
              <w:t>2</w:t>
            </w:r>
          </w:p>
        </w:tc>
        <w:tc>
          <w:tcPr>
            <w:tcW w:w="646" w:type="dxa"/>
            <w:vAlign w:val="center"/>
            <w:tcMar>
              <w:top w:w="60" w:type="dxa"/>
              <w:left w:w="70" w:type="dxa"/>
              <w:bottom w:w="60" w:type="dxa"/>
              <w:right w:w="70" w:type="dxa"/>
            </w:tcMar>
          </w:tcPr>
          <w:p>
            <w:pPr>
              <w:pStyle w:val="CadEETableStyle"/>
            </w:pPr>
            <w:r>
              <w:t>3</w:t>
            </w:r>
          </w:p>
        </w:tc>
        <w:tc>
          <w:tcPr>
            <w:tcW w:w="646" w:type="dxa"/>
            <w:vAlign w:val="center"/>
            <w:tcMar>
              <w:top w:w="60" w:type="dxa"/>
              <w:left w:w="70" w:type="dxa"/>
              <w:bottom w:w="60" w:type="dxa"/>
              <w:right w:w="70" w:type="dxa"/>
            </w:tcMar>
          </w:tcPr>
          <w:p>
            <w:pPr>
              <w:pStyle w:val="CadEETableStyle"/>
            </w:pPr>
            <w:r>
              <w:t>3</w:t>
            </w:r>
          </w:p>
        </w:tc>
        <w:tc>
          <w:tcPr>
            <w:tcW w:w="646" w:type="dxa"/>
            <w:vAlign w:val="center"/>
            <w:tcMar>
              <w:top w:w="60" w:type="dxa"/>
              <w:left w:w="70" w:type="dxa"/>
              <w:bottom w:w="60" w:type="dxa"/>
              <w:right w:w="70" w:type="dxa"/>
            </w:tcMar>
          </w:tcPr>
          <w:p>
            <w:pPr>
              <w:pStyle w:val="CadEETableStyle"/>
            </w:pPr>
            <w:r>
              <w:t>2</w:t>
            </w:r>
          </w:p>
        </w:tc>
        <w:tc>
          <w:tcPr>
            <w:tcW w:w="807" w:type="dxa"/>
            <w:vAlign w:val="center"/>
            <w:tcMar>
              <w:top w:w="60" w:type="dxa"/>
              <w:left w:w="70" w:type="dxa"/>
              <w:bottom w:w="60" w:type="dxa"/>
              <w:right w:w="70" w:type="dxa"/>
            </w:tcMar>
          </w:tcPr>
          <w:p>
            <w:pPr>
              <w:pStyle w:val="CadEETableStyle"/>
            </w:pPr>
            <w:r>
              <w:t>17.622671</w:t>
            </w:r>
          </w:p>
        </w:tc>
        <w:tc>
          <w:tcPr>
            <w:tcW w:w="807" w:type="dxa"/>
            <w:vAlign w:val="center"/>
            <w:tcMar>
              <w:top w:w="60" w:type="dxa"/>
              <w:left w:w="70" w:type="dxa"/>
              <w:bottom w:w="60" w:type="dxa"/>
              <w:right w:w="70" w:type="dxa"/>
            </w:tcMar>
          </w:tcPr>
          <w:p>
            <w:pPr>
              <w:pStyle w:val="CadEETableStyle"/>
            </w:pPr>
            <w:r>
              <w:t>17.526824</w:t>
            </w:r>
          </w:p>
        </w:tc>
        <w:tc>
          <w:tcPr>
            <w:tcW w:w="807" w:type="dxa"/>
            <w:vAlign w:val="center"/>
            <w:tcMar>
              <w:top w:w="60" w:type="dxa"/>
              <w:left w:w="70" w:type="dxa"/>
              <w:bottom w:w="60" w:type="dxa"/>
              <w:right w:w="70" w:type="dxa"/>
            </w:tcMar>
          </w:tcPr>
          <w:p>
            <w:pPr>
              <w:pStyle w:val="CadEETableStyle"/>
            </w:pPr>
            <w:r>
              <w:t>17.574748</w:t>
            </w:r>
          </w:p>
        </w:tc>
        <w:tc>
          <w:tcPr>
            <w:tcW w:w="807" w:type="dxa"/>
            <w:vAlign w:val="center"/>
            <w:tcMar>
              <w:top w:w="60" w:type="dxa"/>
              <w:left w:w="70" w:type="dxa"/>
              <w:bottom w:w="60" w:type="dxa"/>
              <w:right w:w="70" w:type="dxa"/>
            </w:tcMar>
          </w:tcPr>
          <w:p>
            <w:pPr>
              <w:pStyle w:val="CadEETableStyle"/>
            </w:pPr>
            <w:r>
              <w:t>20.000000</w:t>
            </w:r>
          </w:p>
        </w:tc>
        <w:tc>
          <w:tcPr>
            <w:tcW w:w="807" w:type="dxa"/>
            <w:vAlign w:val="center"/>
            <w:tcMar>
              <w:top w:w="60" w:type="dxa"/>
              <w:left w:w="70" w:type="dxa"/>
              <w:bottom w:w="60" w:type="dxa"/>
              <w:right w:w="70" w:type="dxa"/>
            </w:tcMar>
          </w:tcPr>
          <w:p>
            <w:pPr>
              <w:pStyle w:val="CadEETableStyle"/>
            </w:pPr>
            <w:r>
              <w:t>8.700000</w:t>
            </w:r>
          </w:p>
        </w:tc>
        <w:tc>
          <w:tcPr>
            <w:tcW w:w="807" w:type="dxa"/>
            <w:vAlign w:val="center"/>
            <w:tcMar>
              <w:top w:w="60" w:type="dxa"/>
              <w:left w:w="70" w:type="dxa"/>
              <w:bottom w:w="60" w:type="dxa"/>
              <w:right w:w="70" w:type="dxa"/>
            </w:tcMar>
          </w:tcPr>
          <w:p>
            <w:pPr>
              <w:pStyle w:val="CadEETableStyle"/>
            </w:pPr>
            <w:r>
              <w:t>0.150000</w:t>
            </w:r>
          </w:p>
        </w:tc>
        <w:tc>
          <w:tcPr>
            <w:tcW w:w="807" w:type="dxa"/>
            <w:vAlign w:val="center"/>
            <w:tcMar>
              <w:top w:w="60" w:type="dxa"/>
              <w:left w:w="70" w:type="dxa"/>
              <w:bottom w:w="60" w:type="dxa"/>
              <w:right w:w="70" w:type="dxa"/>
            </w:tcMar>
          </w:tcPr>
          <w:p>
            <w:pPr>
              <w:pStyle w:val="CadEETableStyle"/>
            </w:pPr>
            <w:r>
              <w:t>2.425252</w:t>
            </w:r>
          </w:p>
        </w:tc>
        <w:tc>
          <w:tcPr>
            <w:tcW w:w="969" w:type="dxa"/>
            <w:vAlign w:val="center"/>
            <w:tcMar>
              <w:top w:w="60" w:type="dxa"/>
              <w:left w:w="70" w:type="dxa"/>
              <w:bottom w:w="60" w:type="dxa"/>
              <w:right w:w="70" w:type="dxa"/>
            </w:tcMar>
          </w:tcPr>
          <w:p>
            <w:pPr>
              <w:pStyle w:val="CadEETableStyle"/>
            </w:pPr>
            <w:r>
              <w:t>3.164954</w:t>
            </w:r>
          </w:p>
        </w:tc>
      </w:tr>
      <w:tr>
        <w:tc>
          <w:tcPr>
            <w:tcW w:w="969" w:type="dxa"/>
            <w:vAlign w:val="center"/>
            <w:tcMar>
              <w:top w:w="60" w:type="dxa"/>
              <w:left w:w="70" w:type="dxa"/>
              <w:bottom w:w="60" w:type="dxa"/>
              <w:right w:w="70" w:type="dxa"/>
            </w:tcMar>
          </w:tcPr>
          <w:p>
            <w:pPr>
              <w:pStyle w:val="CadEETableStyle"/>
            </w:pPr>
            <w:r>
              <w:t>A.0.3-4</w:t>
            </w:r>
          </w:p>
        </w:tc>
        <w:tc>
          <w:tcPr>
            <w:tcW w:w="807" w:type="dxa"/>
            <w:vAlign w:val="center"/>
            <w:tcMar>
              <w:top w:w="60" w:type="dxa"/>
              <w:left w:w="70" w:type="dxa"/>
              <w:bottom w:w="60" w:type="dxa"/>
              <w:right w:w="70" w:type="dxa"/>
            </w:tcMar>
          </w:tcPr>
          <w:p>
            <w:pPr>
              <w:pStyle w:val="CadEETableStyle"/>
            </w:pPr>
            <w:r>
              <w:t>3</w:t>
            </w:r>
          </w:p>
        </w:tc>
        <w:tc>
          <w:tcPr>
            <w:tcW w:w="646" w:type="dxa"/>
            <w:vAlign w:val="center"/>
            <w:tcMar>
              <w:top w:w="60" w:type="dxa"/>
              <w:left w:w="70" w:type="dxa"/>
              <w:bottom w:w="60" w:type="dxa"/>
              <w:right w:w="70" w:type="dxa"/>
            </w:tcMar>
          </w:tcPr>
          <w:p>
            <w:pPr>
              <w:pStyle w:val="CadEETableStyle"/>
            </w:pPr>
            <w:r>
              <w:t>3</w:t>
            </w:r>
          </w:p>
        </w:tc>
        <w:tc>
          <w:tcPr>
            <w:tcW w:w="646" w:type="dxa"/>
            <w:vAlign w:val="center"/>
            <w:tcMar>
              <w:top w:w="60" w:type="dxa"/>
              <w:left w:w="70" w:type="dxa"/>
              <w:bottom w:w="60" w:type="dxa"/>
              <w:right w:w="70" w:type="dxa"/>
            </w:tcMar>
          </w:tcPr>
          <w:p>
            <w:pPr>
              <w:pStyle w:val="CadEETableStyle"/>
            </w:pPr>
            <w:r>
              <w:t>4</w:t>
            </w:r>
          </w:p>
        </w:tc>
        <w:tc>
          <w:tcPr>
            <w:tcW w:w="646" w:type="dxa"/>
            <w:vAlign w:val="center"/>
            <w:tcMar>
              <w:top w:w="60" w:type="dxa"/>
              <w:left w:w="70" w:type="dxa"/>
              <w:bottom w:w="60" w:type="dxa"/>
              <w:right w:w="70" w:type="dxa"/>
            </w:tcMar>
          </w:tcPr>
          <w:p>
            <w:pPr>
              <w:pStyle w:val="CadEETableStyle"/>
            </w:pPr>
            <w:r>
              <w:t>3</w:t>
            </w:r>
          </w:p>
        </w:tc>
        <w:tc>
          <w:tcPr>
            <w:tcW w:w="807" w:type="dxa"/>
            <w:vAlign w:val="center"/>
            <w:tcMar>
              <w:top w:w="60" w:type="dxa"/>
              <w:left w:w="70" w:type="dxa"/>
              <w:bottom w:w="60" w:type="dxa"/>
              <w:right w:w="70" w:type="dxa"/>
            </w:tcMar>
          </w:tcPr>
          <w:p>
            <w:pPr>
              <w:pStyle w:val="CadEETableStyle"/>
            </w:pPr>
            <w:r>
              <w:t>17.622671</w:t>
            </w:r>
          </w:p>
        </w:tc>
        <w:tc>
          <w:tcPr>
            <w:tcW w:w="807" w:type="dxa"/>
            <w:vAlign w:val="center"/>
            <w:tcMar>
              <w:top w:w="60" w:type="dxa"/>
              <w:left w:w="70" w:type="dxa"/>
              <w:bottom w:w="60" w:type="dxa"/>
              <w:right w:w="70" w:type="dxa"/>
            </w:tcMar>
          </w:tcPr>
          <w:p>
            <w:pPr>
              <w:pStyle w:val="CadEETableStyle"/>
            </w:pPr>
            <w:r>
              <w:t>17.622671</w:t>
            </w:r>
          </w:p>
        </w:tc>
        <w:tc>
          <w:tcPr>
            <w:tcW w:w="807" w:type="dxa"/>
            <w:vAlign w:val="center"/>
            <w:tcMar>
              <w:top w:w="60" w:type="dxa"/>
              <w:left w:w="70" w:type="dxa"/>
              <w:bottom w:w="60" w:type="dxa"/>
              <w:right w:w="70" w:type="dxa"/>
            </w:tcMar>
          </w:tcPr>
          <w:p>
            <w:pPr>
              <w:pStyle w:val="CadEETableStyle"/>
            </w:pPr>
            <w:r>
              <w:t>17.622671</w:t>
            </w:r>
          </w:p>
        </w:tc>
        <w:tc>
          <w:tcPr>
            <w:tcW w:w="807" w:type="dxa"/>
            <w:vAlign w:val="center"/>
            <w:tcMar>
              <w:top w:w="60" w:type="dxa"/>
              <w:left w:w="70" w:type="dxa"/>
              <w:bottom w:w="60" w:type="dxa"/>
              <w:right w:w="70" w:type="dxa"/>
            </w:tcMar>
          </w:tcPr>
          <w:p>
            <w:pPr>
              <w:pStyle w:val="CadEETableStyle"/>
            </w:pPr>
            <w:r>
              <w:t>20.000000</w:t>
            </w:r>
          </w:p>
        </w:tc>
        <w:tc>
          <w:tcPr>
            <w:tcW w:w="807" w:type="dxa"/>
            <w:vAlign w:val="center"/>
            <w:tcMar>
              <w:top w:w="60" w:type="dxa"/>
              <w:left w:w="70" w:type="dxa"/>
              <w:bottom w:w="60" w:type="dxa"/>
              <w:right w:w="70" w:type="dxa"/>
            </w:tcMar>
          </w:tcPr>
          <w:p>
            <w:pPr>
              <w:pStyle w:val="CadEETableStyle"/>
            </w:pPr>
            <w:r>
              <w:t>8.700000</w:t>
            </w:r>
          </w:p>
        </w:tc>
        <w:tc>
          <w:tcPr>
            <w:tcW w:w="807" w:type="dxa"/>
            <w:vAlign w:val="center"/>
            <w:tcMar>
              <w:top w:w="60" w:type="dxa"/>
              <w:left w:w="70" w:type="dxa"/>
              <w:bottom w:w="60" w:type="dxa"/>
              <w:right w:w="70" w:type="dxa"/>
            </w:tcMar>
          </w:tcPr>
          <w:p>
            <w:pPr>
              <w:pStyle w:val="CadEETableStyle"/>
            </w:pPr>
            <w:r>
              <w:t>0.100000</w:t>
            </w:r>
          </w:p>
        </w:tc>
        <w:tc>
          <w:tcPr>
            <w:tcW w:w="807" w:type="dxa"/>
            <w:vAlign w:val="center"/>
            <w:tcMar>
              <w:top w:w="60" w:type="dxa"/>
              <w:left w:w="70" w:type="dxa"/>
              <w:bottom w:w="60" w:type="dxa"/>
              <w:right w:w="70" w:type="dxa"/>
            </w:tcMar>
          </w:tcPr>
          <w:p>
            <w:pPr>
              <w:pStyle w:val="CadEETableStyle"/>
            </w:pPr>
            <w:r>
              <w:t>2.377329</w:t>
            </w:r>
          </w:p>
        </w:tc>
        <w:tc>
          <w:tcPr>
            <w:tcW w:w="969" w:type="dxa"/>
            <w:vAlign w:val="center"/>
            <w:tcMar>
              <w:top w:w="60" w:type="dxa"/>
              <w:left w:w="70" w:type="dxa"/>
              <w:bottom w:w="60" w:type="dxa"/>
              <w:right w:w="70" w:type="dxa"/>
            </w:tcMar>
          </w:tcPr>
          <w:p>
            <w:pPr>
              <w:pStyle w:val="CadEETableStyle"/>
            </w:pPr>
            <w:r>
              <w:t>2.068276</w:t>
            </w:r>
          </w:p>
        </w:tc>
      </w:tr>
      <w:tr>
        <w:tc>
          <w:tcPr>
            <w:tcW w:w="969" w:type="dxa"/>
            <w:vAlign w:val="center"/>
            <w:tcMar>
              <w:top w:w="60" w:type="dxa"/>
              <w:left w:w="70" w:type="dxa"/>
              <w:bottom w:w="60" w:type="dxa"/>
              <w:right w:w="70" w:type="dxa"/>
            </w:tcMar>
          </w:tcPr>
          <w:p>
            <w:pPr>
              <w:pStyle w:val="CadEETableStyle"/>
            </w:pPr>
            <w:r>
              <w:t>A.0.3-5</w:t>
            </w:r>
          </w:p>
        </w:tc>
        <w:tc>
          <w:tcPr>
            <w:tcW w:w="807" w:type="dxa"/>
            <w:vAlign w:val="center"/>
            <w:tcMar>
              <w:top w:w="60" w:type="dxa"/>
              <w:left w:w="70" w:type="dxa"/>
              <w:bottom w:w="60" w:type="dxa"/>
              <w:right w:w="70" w:type="dxa"/>
            </w:tcMar>
          </w:tcPr>
          <w:p>
            <w:pPr>
              <w:pStyle w:val="CadEETableStyle"/>
            </w:pPr>
            <w:r>
              <w:t>4</w:t>
            </w:r>
          </w:p>
        </w:tc>
        <w:tc>
          <w:tcPr>
            <w:tcW w:w="646" w:type="dxa"/>
            <w:vAlign w:val="center"/>
            <w:tcMar>
              <w:top w:w="60" w:type="dxa"/>
              <w:left w:w="70" w:type="dxa"/>
              <w:bottom w:w="60" w:type="dxa"/>
              <w:right w:w="70" w:type="dxa"/>
            </w:tcMar>
          </w:tcPr>
          <w:p>
            <w:pPr>
              <w:pStyle w:val="CadEETableStyle"/>
            </w:pPr>
            <w:r>
              <w:t>3</w:t>
            </w:r>
          </w:p>
        </w:tc>
        <w:tc>
          <w:tcPr>
            <w:tcW w:w="646" w:type="dxa"/>
            <w:vAlign w:val="center"/>
            <w:tcMar>
              <w:top w:w="60" w:type="dxa"/>
              <w:left w:w="70" w:type="dxa"/>
              <w:bottom w:w="60" w:type="dxa"/>
              <w:right w:w="70" w:type="dxa"/>
            </w:tcMar>
          </w:tcPr>
          <w:p>
            <w:pPr>
              <w:pStyle w:val="CadEETableStyle"/>
            </w:pPr>
            <w:r>
              <w:t>5</w:t>
            </w:r>
          </w:p>
        </w:tc>
        <w:tc>
          <w:tcPr>
            <w:tcW w:w="646" w:type="dxa"/>
            <w:vAlign w:val="center"/>
            <w:tcMar>
              <w:top w:w="60" w:type="dxa"/>
              <w:left w:w="70" w:type="dxa"/>
              <w:bottom w:w="60" w:type="dxa"/>
              <w:right w:w="70" w:type="dxa"/>
            </w:tcMar>
          </w:tcPr>
          <w:p>
            <w:pPr>
              <w:pStyle w:val="CadEETableStyle"/>
            </w:pPr>
            <w:r>
              <w:t>4</w:t>
            </w:r>
          </w:p>
        </w:tc>
        <w:tc>
          <w:tcPr>
            <w:tcW w:w="807" w:type="dxa"/>
            <w:vAlign w:val="center"/>
            <w:tcMar>
              <w:top w:w="60" w:type="dxa"/>
              <w:left w:w="70" w:type="dxa"/>
              <w:bottom w:w="60" w:type="dxa"/>
              <w:right w:w="70" w:type="dxa"/>
            </w:tcMar>
          </w:tcPr>
          <w:p>
            <w:pPr>
              <w:pStyle w:val="CadEETableStyle"/>
            </w:pPr>
            <w:r>
              <w:t>17.526824</w:t>
            </w:r>
          </w:p>
        </w:tc>
        <w:tc>
          <w:tcPr>
            <w:tcW w:w="807" w:type="dxa"/>
            <w:vAlign w:val="center"/>
            <w:tcMar>
              <w:top w:w="60" w:type="dxa"/>
              <w:left w:w="70" w:type="dxa"/>
              <w:bottom w:w="60" w:type="dxa"/>
              <w:right w:w="70" w:type="dxa"/>
            </w:tcMar>
          </w:tcPr>
          <w:p>
            <w:pPr>
              <w:pStyle w:val="CadEETableStyle"/>
            </w:pPr>
            <w:r>
              <w:t>17.622671</w:t>
            </w:r>
          </w:p>
        </w:tc>
        <w:tc>
          <w:tcPr>
            <w:tcW w:w="807" w:type="dxa"/>
            <w:vAlign w:val="center"/>
            <w:tcMar>
              <w:top w:w="60" w:type="dxa"/>
              <w:left w:w="70" w:type="dxa"/>
              <w:bottom w:w="60" w:type="dxa"/>
              <w:right w:w="70" w:type="dxa"/>
            </w:tcMar>
          </w:tcPr>
          <w:p>
            <w:pPr>
              <w:pStyle w:val="CadEETableStyle"/>
            </w:pPr>
            <w:r>
              <w:t>17.574748</w:t>
            </w:r>
          </w:p>
        </w:tc>
        <w:tc>
          <w:tcPr>
            <w:tcW w:w="807" w:type="dxa"/>
            <w:vAlign w:val="center"/>
            <w:tcMar>
              <w:top w:w="60" w:type="dxa"/>
              <w:left w:w="70" w:type="dxa"/>
              <w:bottom w:w="60" w:type="dxa"/>
              <w:right w:w="70" w:type="dxa"/>
            </w:tcMar>
          </w:tcPr>
          <w:p>
            <w:pPr>
              <w:pStyle w:val="CadEETableStyle"/>
            </w:pPr>
            <w:r>
              <w:t>20.000000</w:t>
            </w:r>
          </w:p>
        </w:tc>
        <w:tc>
          <w:tcPr>
            <w:tcW w:w="807" w:type="dxa"/>
            <w:vAlign w:val="center"/>
            <w:tcMar>
              <w:top w:w="60" w:type="dxa"/>
              <w:left w:w="70" w:type="dxa"/>
              <w:bottom w:w="60" w:type="dxa"/>
              <w:right w:w="70" w:type="dxa"/>
            </w:tcMar>
          </w:tcPr>
          <w:p>
            <w:pPr>
              <w:pStyle w:val="CadEETableStyle"/>
            </w:pPr>
            <w:r>
              <w:t>8.700000</w:t>
            </w:r>
          </w:p>
        </w:tc>
        <w:tc>
          <w:tcPr>
            <w:tcW w:w="807" w:type="dxa"/>
            <w:vAlign w:val="center"/>
            <w:tcMar>
              <w:top w:w="60" w:type="dxa"/>
              <w:left w:w="70" w:type="dxa"/>
              <w:bottom w:w="60" w:type="dxa"/>
              <w:right w:w="70" w:type="dxa"/>
            </w:tcMar>
          </w:tcPr>
          <w:p>
            <w:pPr>
              <w:pStyle w:val="CadEETableStyle"/>
            </w:pPr>
            <w:r>
              <w:t>0.150000</w:t>
            </w:r>
          </w:p>
        </w:tc>
        <w:tc>
          <w:tcPr>
            <w:tcW w:w="807" w:type="dxa"/>
            <w:vAlign w:val="center"/>
            <w:tcMar>
              <w:top w:w="60" w:type="dxa"/>
              <w:left w:w="70" w:type="dxa"/>
              <w:bottom w:w="60" w:type="dxa"/>
              <w:right w:w="70" w:type="dxa"/>
            </w:tcMar>
          </w:tcPr>
          <w:p>
            <w:pPr>
              <w:pStyle w:val="CadEETableStyle"/>
            </w:pPr>
            <w:r>
              <w:t>2.425252</w:t>
            </w:r>
          </w:p>
        </w:tc>
        <w:tc>
          <w:tcPr>
            <w:tcW w:w="969" w:type="dxa"/>
            <w:vAlign w:val="center"/>
            <w:tcMar>
              <w:top w:w="60" w:type="dxa"/>
              <w:left w:w="70" w:type="dxa"/>
              <w:bottom w:w="60" w:type="dxa"/>
              <w:right w:w="70" w:type="dxa"/>
            </w:tcMar>
          </w:tcPr>
          <w:p>
            <w:pPr>
              <w:pStyle w:val="CadEETableStyle"/>
            </w:pPr>
            <w:r>
              <w:t>3.164954</w:t>
            </w:r>
          </w:p>
        </w:tc>
      </w:tr>
      <w:tr>
        <w:tc>
          <w:tcPr>
            <w:tcW w:w="969" w:type="dxa"/>
            <w:vAlign w:val="center"/>
            <w:tcMar>
              <w:top w:w="60" w:type="dxa"/>
              <w:left w:w="70" w:type="dxa"/>
              <w:bottom w:w="60" w:type="dxa"/>
              <w:right w:w="70" w:type="dxa"/>
            </w:tcMar>
          </w:tcPr>
          <w:p>
            <w:pPr>
              <w:pStyle w:val="CadEETableStyle"/>
            </w:pPr>
            <w:r>
              <w:t>A.0.3-6</w:t>
            </w:r>
          </w:p>
        </w:tc>
        <w:tc>
          <w:tcPr>
            <w:tcW w:w="807" w:type="dxa"/>
            <w:vAlign w:val="center"/>
            <w:tcMar>
              <w:top w:w="60" w:type="dxa"/>
              <w:left w:w="70" w:type="dxa"/>
              <w:bottom w:w="60" w:type="dxa"/>
              <w:right w:w="70" w:type="dxa"/>
            </w:tcMar>
          </w:tcPr>
          <w:p>
            <w:pPr>
              <w:pStyle w:val="CadEETableStyle"/>
            </w:pPr>
            <w:r>
              <w:t>5</w:t>
            </w:r>
          </w:p>
        </w:tc>
        <w:tc>
          <w:tcPr>
            <w:tcW w:w="646" w:type="dxa"/>
            <w:vAlign w:val="center"/>
            <w:tcMar>
              <w:top w:w="60" w:type="dxa"/>
              <w:left w:w="70" w:type="dxa"/>
              <w:bottom w:w="60" w:type="dxa"/>
              <w:right w:w="70" w:type="dxa"/>
            </w:tcMar>
          </w:tcPr>
          <w:p>
            <w:pPr>
              <w:pStyle w:val="CadEETableStyle"/>
            </w:pPr>
            <w:r>
              <w:t>3</w:t>
            </w:r>
          </w:p>
        </w:tc>
        <w:tc>
          <w:tcPr>
            <w:tcW w:w="646" w:type="dxa"/>
            <w:vAlign w:val="center"/>
            <w:tcMar>
              <w:top w:w="60" w:type="dxa"/>
              <w:left w:w="70" w:type="dxa"/>
              <w:bottom w:w="60" w:type="dxa"/>
              <w:right w:w="70" w:type="dxa"/>
            </w:tcMar>
          </w:tcPr>
          <w:p>
            <w:pPr>
              <w:pStyle w:val="CadEETableStyle"/>
            </w:pPr>
            <w:r>
              <w:t>6</w:t>
            </w:r>
          </w:p>
        </w:tc>
        <w:tc>
          <w:tcPr>
            <w:tcW w:w="646" w:type="dxa"/>
            <w:vAlign w:val="center"/>
            <w:tcMar>
              <w:top w:w="60" w:type="dxa"/>
              <w:left w:w="70" w:type="dxa"/>
              <w:bottom w:w="60" w:type="dxa"/>
              <w:right w:w="70" w:type="dxa"/>
            </w:tcMar>
          </w:tcPr>
          <w:p>
            <w:pPr>
              <w:pStyle w:val="CadEETableStyle"/>
            </w:pPr>
            <w:r>
              <w:t>5</w:t>
            </w:r>
          </w:p>
        </w:tc>
        <w:tc>
          <w:tcPr>
            <w:tcW w:w="807" w:type="dxa"/>
            <w:vAlign w:val="center"/>
            <w:tcMar>
              <w:top w:w="60" w:type="dxa"/>
              <w:left w:w="70" w:type="dxa"/>
              <w:bottom w:w="60" w:type="dxa"/>
              <w:right w:w="70" w:type="dxa"/>
            </w:tcMar>
          </w:tcPr>
          <w:p>
            <w:pPr>
              <w:pStyle w:val="CadEETableStyle"/>
            </w:pPr>
            <w:r>
              <w:t>17.578582</w:t>
            </w:r>
          </w:p>
        </w:tc>
        <w:tc>
          <w:tcPr>
            <w:tcW w:w="807" w:type="dxa"/>
            <w:vAlign w:val="center"/>
            <w:tcMar>
              <w:top w:w="60" w:type="dxa"/>
              <w:left w:w="70" w:type="dxa"/>
              <w:bottom w:w="60" w:type="dxa"/>
              <w:right w:w="70" w:type="dxa"/>
            </w:tcMar>
          </w:tcPr>
          <w:p>
            <w:pPr>
              <w:pStyle w:val="CadEETableStyle"/>
            </w:pPr>
            <w:r>
              <w:t>17.526824</w:t>
            </w:r>
          </w:p>
        </w:tc>
        <w:tc>
          <w:tcPr>
            <w:tcW w:w="807" w:type="dxa"/>
            <w:vAlign w:val="center"/>
            <w:tcMar>
              <w:top w:w="60" w:type="dxa"/>
              <w:left w:w="70" w:type="dxa"/>
              <w:bottom w:w="60" w:type="dxa"/>
              <w:right w:w="70" w:type="dxa"/>
            </w:tcMar>
          </w:tcPr>
          <w:p>
            <w:pPr>
              <w:pStyle w:val="CadEETableStyle"/>
            </w:pPr>
            <w:r>
              <w:t>17.552703</w:t>
            </w:r>
          </w:p>
        </w:tc>
        <w:tc>
          <w:tcPr>
            <w:tcW w:w="807" w:type="dxa"/>
            <w:vAlign w:val="center"/>
            <w:tcMar>
              <w:top w:w="60" w:type="dxa"/>
              <w:left w:w="70" w:type="dxa"/>
              <w:bottom w:w="60" w:type="dxa"/>
              <w:right w:w="70" w:type="dxa"/>
            </w:tcMar>
          </w:tcPr>
          <w:p>
            <w:pPr>
              <w:pStyle w:val="CadEETableStyle"/>
            </w:pPr>
            <w:r>
              <w:t>20.000000</w:t>
            </w:r>
          </w:p>
        </w:tc>
        <w:tc>
          <w:tcPr>
            <w:tcW w:w="807" w:type="dxa"/>
            <w:vAlign w:val="center"/>
            <w:tcMar>
              <w:top w:w="60" w:type="dxa"/>
              <w:left w:w="70" w:type="dxa"/>
              <w:bottom w:w="60" w:type="dxa"/>
              <w:right w:w="70" w:type="dxa"/>
            </w:tcMar>
          </w:tcPr>
          <w:p>
            <w:pPr>
              <w:pStyle w:val="CadEETableStyle"/>
            </w:pPr>
            <w:r>
              <w:t>8.700000</w:t>
            </w:r>
          </w:p>
        </w:tc>
        <w:tc>
          <w:tcPr>
            <w:tcW w:w="807" w:type="dxa"/>
            <w:vAlign w:val="center"/>
            <w:tcMar>
              <w:top w:w="60" w:type="dxa"/>
              <w:left w:w="70" w:type="dxa"/>
              <w:bottom w:w="60" w:type="dxa"/>
              <w:right w:w="70" w:type="dxa"/>
            </w:tcMar>
          </w:tcPr>
          <w:p>
            <w:pPr>
              <w:pStyle w:val="CadEETableStyle"/>
            </w:pPr>
            <w:r>
              <w:t>0.150000</w:t>
            </w:r>
          </w:p>
        </w:tc>
        <w:tc>
          <w:tcPr>
            <w:tcW w:w="807" w:type="dxa"/>
            <w:vAlign w:val="center"/>
            <w:tcMar>
              <w:top w:w="60" w:type="dxa"/>
              <w:left w:w="70" w:type="dxa"/>
              <w:bottom w:w="60" w:type="dxa"/>
              <w:right w:w="70" w:type="dxa"/>
            </w:tcMar>
          </w:tcPr>
          <w:p>
            <w:pPr>
              <w:pStyle w:val="CadEETableStyle"/>
            </w:pPr>
            <w:r>
              <w:t>2.447297</w:t>
            </w:r>
          </w:p>
        </w:tc>
        <w:tc>
          <w:tcPr>
            <w:tcW w:w="969" w:type="dxa"/>
            <w:vAlign w:val="center"/>
            <w:tcMar>
              <w:top w:w="60" w:type="dxa"/>
              <w:left w:w="70" w:type="dxa"/>
              <w:bottom w:w="60" w:type="dxa"/>
              <w:right w:w="70" w:type="dxa"/>
            </w:tcMar>
          </w:tcPr>
          <w:p>
            <w:pPr>
              <w:pStyle w:val="CadEETableStyle"/>
            </w:pPr>
            <w:r>
              <w:t>3.193723</w:t>
            </w:r>
          </w:p>
        </w:tc>
      </w:tr>
      <w:tr>
        <w:tc>
          <w:tcPr>
            <w:tcW w:w="969" w:type="dxa"/>
            <w:vAlign w:val="center"/>
            <w:tcMar>
              <w:top w:w="60" w:type="dxa"/>
              <w:left w:w="70" w:type="dxa"/>
              <w:bottom w:w="60" w:type="dxa"/>
              <w:right w:w="70" w:type="dxa"/>
            </w:tcMar>
          </w:tcPr>
          <w:p>
            <w:pPr>
              <w:pStyle w:val="CadEETableStyle"/>
            </w:pPr>
            <w:r>
              <w:t>A.0.3-7</w:t>
            </w:r>
          </w:p>
        </w:tc>
        <w:tc>
          <w:tcPr>
            <w:tcW w:w="807" w:type="dxa"/>
            <w:vAlign w:val="center"/>
            <w:tcMar>
              <w:top w:w="60" w:type="dxa"/>
              <w:left w:w="70" w:type="dxa"/>
              <w:bottom w:w="60" w:type="dxa"/>
              <w:right w:w="70" w:type="dxa"/>
            </w:tcMar>
          </w:tcPr>
          <w:p>
            <w:pPr>
              <w:pStyle w:val="CadEETableStyle"/>
            </w:pPr>
            <w:r>
              <w:t>6</w:t>
            </w:r>
          </w:p>
        </w:tc>
        <w:tc>
          <w:tcPr>
            <w:tcW w:w="646" w:type="dxa"/>
            <w:vAlign w:val="center"/>
            <w:tcMar>
              <w:top w:w="60" w:type="dxa"/>
              <w:left w:w="70" w:type="dxa"/>
              <w:bottom w:w="60" w:type="dxa"/>
              <w:right w:w="70" w:type="dxa"/>
            </w:tcMar>
          </w:tcPr>
          <w:p>
            <w:pPr>
              <w:pStyle w:val="CadEETableStyle"/>
            </w:pPr>
            <w:r>
              <w:t>3</w:t>
            </w:r>
          </w:p>
        </w:tc>
        <w:tc>
          <w:tcPr>
            <w:tcW w:w="646" w:type="dxa"/>
            <w:vAlign w:val="center"/>
            <w:tcMar>
              <w:top w:w="60" w:type="dxa"/>
              <w:left w:w="70" w:type="dxa"/>
              <w:bottom w:w="60" w:type="dxa"/>
              <w:right w:w="70" w:type="dxa"/>
            </w:tcMar>
          </w:tcPr>
          <w:p>
            <w:pPr>
              <w:pStyle w:val="CadEETableStyle"/>
            </w:pPr>
            <w:r>
              <w:t>7</w:t>
            </w:r>
          </w:p>
        </w:tc>
        <w:tc>
          <w:tcPr>
            <w:tcW w:w="646" w:type="dxa"/>
            <w:vAlign w:val="center"/>
            <w:tcMar>
              <w:top w:w="60" w:type="dxa"/>
              <w:left w:w="70" w:type="dxa"/>
              <w:bottom w:w="60" w:type="dxa"/>
              <w:right w:w="70" w:type="dxa"/>
            </w:tcMar>
          </w:tcPr>
          <w:p>
            <w:pPr>
              <w:pStyle w:val="CadEETableStyle"/>
            </w:pPr>
            <w:r>
              <w:t>6</w:t>
            </w:r>
          </w:p>
        </w:tc>
        <w:tc>
          <w:tcPr>
            <w:tcW w:w="807" w:type="dxa"/>
            <w:vAlign w:val="center"/>
            <w:tcMar>
              <w:top w:w="60" w:type="dxa"/>
              <w:left w:w="70" w:type="dxa"/>
              <w:bottom w:w="60" w:type="dxa"/>
              <w:right w:w="70" w:type="dxa"/>
            </w:tcMar>
          </w:tcPr>
          <w:p>
            <w:pPr>
              <w:pStyle w:val="CadEETableStyle"/>
            </w:pPr>
            <w:r>
              <w:t>17.754174</w:t>
            </w:r>
          </w:p>
        </w:tc>
        <w:tc>
          <w:tcPr>
            <w:tcW w:w="807" w:type="dxa"/>
            <w:vAlign w:val="center"/>
            <w:tcMar>
              <w:top w:w="60" w:type="dxa"/>
              <w:left w:w="70" w:type="dxa"/>
              <w:bottom w:w="60" w:type="dxa"/>
              <w:right w:w="70" w:type="dxa"/>
            </w:tcMar>
          </w:tcPr>
          <w:p>
            <w:pPr>
              <w:pStyle w:val="CadEETableStyle"/>
            </w:pPr>
            <w:r>
              <w:t>17.578582</w:t>
            </w:r>
          </w:p>
        </w:tc>
        <w:tc>
          <w:tcPr>
            <w:tcW w:w="807" w:type="dxa"/>
            <w:vAlign w:val="center"/>
            <w:tcMar>
              <w:top w:w="60" w:type="dxa"/>
              <w:left w:w="70" w:type="dxa"/>
              <w:bottom w:w="60" w:type="dxa"/>
              <w:right w:w="70" w:type="dxa"/>
            </w:tcMar>
          </w:tcPr>
          <w:p>
            <w:pPr>
              <w:pStyle w:val="CadEETableStyle"/>
            </w:pPr>
            <w:r>
              <w:t>17.666378</w:t>
            </w:r>
          </w:p>
        </w:tc>
        <w:tc>
          <w:tcPr>
            <w:tcW w:w="807" w:type="dxa"/>
            <w:vAlign w:val="center"/>
            <w:tcMar>
              <w:top w:w="60" w:type="dxa"/>
              <w:left w:w="70" w:type="dxa"/>
              <w:bottom w:w="60" w:type="dxa"/>
              <w:right w:w="70" w:type="dxa"/>
            </w:tcMar>
          </w:tcPr>
          <w:p>
            <w:pPr>
              <w:pStyle w:val="CadEETableStyle"/>
            </w:pPr>
            <w:r>
              <w:t>20.000000</w:t>
            </w:r>
          </w:p>
        </w:tc>
        <w:tc>
          <w:tcPr>
            <w:tcW w:w="807" w:type="dxa"/>
            <w:vAlign w:val="center"/>
            <w:tcMar>
              <w:top w:w="60" w:type="dxa"/>
              <w:left w:w="70" w:type="dxa"/>
              <w:bottom w:w="60" w:type="dxa"/>
              <w:right w:w="70" w:type="dxa"/>
            </w:tcMar>
          </w:tcPr>
          <w:p>
            <w:pPr>
              <w:pStyle w:val="CadEETableStyle"/>
            </w:pPr>
            <w:r>
              <w:t>8.700000</w:t>
            </w:r>
          </w:p>
        </w:tc>
        <w:tc>
          <w:tcPr>
            <w:tcW w:w="807" w:type="dxa"/>
            <w:vAlign w:val="center"/>
            <w:tcMar>
              <w:top w:w="60" w:type="dxa"/>
              <w:left w:w="70" w:type="dxa"/>
              <w:bottom w:w="60" w:type="dxa"/>
              <w:right w:w="70" w:type="dxa"/>
            </w:tcMar>
          </w:tcPr>
          <w:p>
            <w:pPr>
              <w:pStyle w:val="CadEETableStyle"/>
            </w:pPr>
            <w:r>
              <w:t>0.050000</w:t>
            </w:r>
          </w:p>
        </w:tc>
        <w:tc>
          <w:tcPr>
            <w:tcW w:w="807" w:type="dxa"/>
            <w:vAlign w:val="center"/>
            <w:tcMar>
              <w:top w:w="60" w:type="dxa"/>
              <w:left w:w="70" w:type="dxa"/>
              <w:bottom w:w="60" w:type="dxa"/>
              <w:right w:w="70" w:type="dxa"/>
            </w:tcMar>
          </w:tcPr>
          <w:p>
            <w:pPr>
              <w:pStyle w:val="CadEETableStyle"/>
            </w:pPr>
            <w:r>
              <w:t>2.333622</w:t>
            </w:r>
          </w:p>
        </w:tc>
        <w:tc>
          <w:tcPr>
            <w:tcW w:w="969" w:type="dxa"/>
            <w:vAlign w:val="center"/>
            <w:tcMar>
              <w:top w:w="60" w:type="dxa"/>
              <w:left w:w="70" w:type="dxa"/>
              <w:bottom w:w="60" w:type="dxa"/>
              <w:right w:w="70" w:type="dxa"/>
            </w:tcMar>
          </w:tcPr>
          <w:p>
            <w:pPr>
              <w:pStyle w:val="CadEETableStyle"/>
            </w:pPr>
            <w:r>
              <w:t>1.015126</w:t>
            </w:r>
          </w:p>
        </w:tc>
      </w:tr>
      <w:tr>
        <w:tc>
          <w:tcPr>
            <w:tcW w:w="969" w:type="dxa"/>
            <w:vAlign w:val="center"/>
            <w:tcMar>
              <w:top w:w="60" w:type="dxa"/>
              <w:left w:w="70" w:type="dxa"/>
              <w:bottom w:w="60" w:type="dxa"/>
              <w:right w:w="70" w:type="dxa"/>
            </w:tcMar>
          </w:tcPr>
          <w:p>
            <w:pPr>
              <w:pStyle w:val="CadEETableStyle"/>
            </w:pPr>
            <w:r>
              <w:t/>
            </w:r>
          </w:p>
        </w:tc>
        <w:tc>
          <w:tcPr>
            <w:tcW w:w="807" w:type="dxa"/>
            <w:vAlign w:val="center"/>
            <w:tcMar>
              <w:top w:w="60" w:type="dxa"/>
              <w:left w:w="70" w:type="dxa"/>
              <w:bottom w:w="60" w:type="dxa"/>
              <w:right w:w="70" w:type="dxa"/>
            </w:tcMar>
          </w:tcPr>
          <w:p>
            <w:pPr>
              <w:pStyle w:val="CadEETableStyle"/>
            </w:pPr>
            <w:r>
              <w:t>Σ q_face = Q2D</w:t>
            </w:r>
          </w:p>
        </w:tc>
        <w:tc>
          <w:tcPr>
            <w:tcW w:w="646" w:type="dxa"/>
            <w:vAlign w:val="center"/>
            <w:tcMar>
              <w:top w:w="60" w:type="dxa"/>
              <w:left w:w="70" w:type="dxa"/>
              <w:bottom w:w="60" w:type="dxa"/>
              <w:right w:w="70" w:type="dxa"/>
            </w:tcMar>
          </w:tcPr>
          <w:p>
            <w:pPr>
              <w:pStyle w:val="CadEETableStyle"/>
            </w:pPr>
            <w:r>
              <w:t/>
            </w:r>
          </w:p>
        </w:tc>
        <w:tc>
          <w:tcPr>
            <w:tcW w:w="646" w:type="dxa"/>
            <w:vAlign w:val="center"/>
            <w:tcMar>
              <w:top w:w="60" w:type="dxa"/>
              <w:left w:w="70" w:type="dxa"/>
              <w:bottom w:w="60" w:type="dxa"/>
              <w:right w:w="70" w:type="dxa"/>
            </w:tcMar>
          </w:tcPr>
          <w:p>
            <w:pPr>
              <w:pStyle w:val="CadEETableStyle"/>
            </w:pPr>
            <w:r>
              <w:t/>
            </w:r>
          </w:p>
        </w:tc>
        <w:tc>
          <w:tcPr>
            <w:tcW w:w="646" w:type="dxa"/>
            <w:vAlign w:val="center"/>
            <w:tcMar>
              <w:top w:w="60" w:type="dxa"/>
              <w:left w:w="70" w:type="dxa"/>
              <w:bottom w:w="60" w:type="dxa"/>
              <w:right w:w="70" w:type="dxa"/>
            </w:tcMar>
          </w:tcPr>
          <w:p>
            <w:pPr>
              <w:pStyle w:val="CadEETableStyle"/>
            </w:pPr>
            <w:r>
              <w:t/>
            </w:r>
          </w:p>
        </w:tc>
        <w:tc>
          <w:tcPr>
            <w:tcW w:w="807" w:type="dxa"/>
            <w:vAlign w:val="center"/>
            <w:tcMar>
              <w:top w:w="60" w:type="dxa"/>
              <w:left w:w="70" w:type="dxa"/>
              <w:bottom w:w="60" w:type="dxa"/>
              <w:right w:w="70" w:type="dxa"/>
            </w:tcMar>
          </w:tcPr>
          <w:p>
            <w:pPr>
              <w:pStyle w:val="CadEETableStyle"/>
            </w:pPr>
            <w:r>
              <w:t/>
            </w:r>
          </w:p>
        </w:tc>
        <w:tc>
          <w:tcPr>
            <w:tcW w:w="807" w:type="dxa"/>
            <w:vAlign w:val="center"/>
            <w:tcMar>
              <w:top w:w="60" w:type="dxa"/>
              <w:left w:w="70" w:type="dxa"/>
              <w:bottom w:w="60" w:type="dxa"/>
              <w:right w:w="70" w:type="dxa"/>
            </w:tcMar>
          </w:tcPr>
          <w:p>
            <w:pPr>
              <w:pStyle w:val="CadEETableStyle"/>
            </w:pPr>
            <w:r>
              <w:t/>
            </w:r>
          </w:p>
        </w:tc>
        <w:tc>
          <w:tcPr>
            <w:tcW w:w="807" w:type="dxa"/>
            <w:vAlign w:val="center"/>
            <w:tcMar>
              <w:top w:w="60" w:type="dxa"/>
              <w:left w:w="70" w:type="dxa"/>
              <w:bottom w:w="60" w:type="dxa"/>
              <w:right w:w="70" w:type="dxa"/>
            </w:tcMar>
          </w:tcPr>
          <w:p>
            <w:pPr>
              <w:pStyle w:val="CadEETableStyle"/>
            </w:pPr>
            <w:r>
              <w:t/>
            </w:r>
          </w:p>
        </w:tc>
        <w:tc>
          <w:tcPr>
            <w:tcW w:w="807" w:type="dxa"/>
            <w:vAlign w:val="center"/>
            <w:tcMar>
              <w:top w:w="60" w:type="dxa"/>
              <w:left w:w="70" w:type="dxa"/>
              <w:bottom w:w="60" w:type="dxa"/>
              <w:right w:w="70" w:type="dxa"/>
            </w:tcMar>
          </w:tcPr>
          <w:p>
            <w:pPr>
              <w:pStyle w:val="CadEETableStyle"/>
            </w:pPr>
            <w:r>
              <w:t/>
            </w:r>
          </w:p>
        </w:tc>
        <w:tc>
          <w:tcPr>
            <w:tcW w:w="807" w:type="dxa"/>
            <w:vAlign w:val="center"/>
            <w:tcMar>
              <w:top w:w="60" w:type="dxa"/>
              <w:left w:w="70" w:type="dxa"/>
              <w:bottom w:w="60" w:type="dxa"/>
              <w:right w:w="70" w:type="dxa"/>
            </w:tcMar>
          </w:tcPr>
          <w:p>
            <w:pPr>
              <w:pStyle w:val="CadEETableStyle"/>
            </w:pPr>
            <w:r>
              <w:t/>
            </w:r>
          </w:p>
        </w:tc>
        <w:tc>
          <w:tcPr>
            <w:tcW w:w="807" w:type="dxa"/>
            <w:vAlign w:val="center"/>
            <w:tcMar>
              <w:top w:w="60" w:type="dxa"/>
              <w:left w:w="70" w:type="dxa"/>
              <w:bottom w:w="60" w:type="dxa"/>
              <w:right w:w="70" w:type="dxa"/>
            </w:tcMar>
          </w:tcPr>
          <w:p>
            <w:pPr>
              <w:pStyle w:val="CadEETableStyle"/>
            </w:pPr>
            <w:r>
              <w:t/>
            </w:r>
          </w:p>
        </w:tc>
        <w:tc>
          <w:tcPr>
            <w:tcW w:w="807" w:type="dxa"/>
            <w:vAlign w:val="center"/>
            <w:tcMar>
              <w:top w:w="60" w:type="dxa"/>
              <w:left w:w="70" w:type="dxa"/>
              <w:bottom w:w="60" w:type="dxa"/>
              <w:right w:w="70" w:type="dxa"/>
            </w:tcMar>
          </w:tcPr>
          <w:p>
            <w:pPr>
              <w:pStyle w:val="CadEETableStyle"/>
            </w:pPr>
            <w:r>
              <w:t/>
            </w:r>
          </w:p>
        </w:tc>
        <w:tc>
          <w:tcPr>
            <w:tcW w:w="969" w:type="dxa"/>
            <w:vAlign w:val="center"/>
            <w:tcMar>
              <w:top w:w="60" w:type="dxa"/>
              <w:left w:w="70" w:type="dxa"/>
              <w:bottom w:w="60" w:type="dxa"/>
              <w:right w:w="70" w:type="dxa"/>
            </w:tcMar>
          </w:tcPr>
          <w:p>
            <w:pPr>
              <w:pStyle w:val="CadEETableStyle"/>
            </w:pPr>
            <w:r>
              <w:t>16.815881 = 16.815881</w:t>
            </w:r>
          </w:p>
        </w:tc>
      </w:tr>
    </w:tbl>
    <w:p>
      <w:pPr>
        <w:spacing w:before="0" w:after="0" w:line="80" w:lineRule="exact"/>
      </w:pPr>
    </w:p>
    <w:sectPr>
      <w:footerReference w:type="first" r:id="rId8"/>
      <w:footerReference w:type="default" r:id="rId9"/>
      <w:titlePg/>
      <w:pgSz w:w="11906" w:h="16838"/>
      <w:pgMar w:top="454" w:right="323" w:bottom="1134" w:left="1247" w:header="709" w:footer="709"/>
    </w:sectPr>
  </w:body>
</w:document>
</file>

<file path=word/footer1.xml><?xml version="1.0" encoding="utf-8"?>
<w:ftr xmlns:w="http://schemas.openxmlformats.org/wordprocessingml/2006/main" xmlns:r="http://schemas.openxmlformats.org/officeDocument/2006/relationships" xmlns:v="urn:schemas-microsoft-com:vml" xmlns:o="urn:schemas-microsoft-com:office:office">
  <w:p/>
  <w:p/>
  <w:p/>
  <w:p/>
  <w:p/>
  <w:p>
    <w:r>
      <w:pict>
        <v:shapetype id="_x0000_t202" coordsize="21600,21600" o:spt="202" path="m,l,21600r21600,l21600,xe">
          <v:stroke joinstyle="miter"/>
          <v:path gradientshapeok="t" o:connecttype="rect"/>
        </v:shapetype>
        <v:rect id="stamp_page_frame_large" style="position:absolute;left:20mm;top:5mm;width:185mm;height:232mm;z-index:0;mso-position-horizontal-relative:page;mso-position-vertical-relative:page;mso-wrap-style:none" filled="f" stroked="t" strokecolor="#000000" strokeweight="0.5pt"/>
        <v:rect id="stamp_body_guard_large" style="position:absolute;left:20mm;top:237mm;width:185mm;height:55mm;z-index:0;mso-position-horizontal-relative:page;mso-position-vertical-relative:page;mso-wrap-style:square" filled="f" stroked="f"/>
        <v:rect id="stamp_box_main_stamp_outer" style="position:absolute;left:20mm;top:237mm;width:185mm;height:55mm;z-index:1;mso-position-horizontal-relative:page;mso-position-vertical-relative:page;mso-wrap-style:none" filled="f" stroked="t" strokecolor="#000000" strokeweight="0.5pt"/>
        <v:rect id="stamp_box_main_revision_outer" style="position:absolute;left:20mm;top:237mm;width:65mm;height:55mm;z-index:1;mso-position-horizontal-relative:page;mso-position-vertical-relative:page;mso-wrap-style:none" filled="f" stroked="t" strokecolor="#000000" strokeweight="0.5pt"/>
        <v:rect id="stamp_box_main_revision_row_1_box" style="position:absolute;left:20mm;top:237mm;width:65mm;height:5mm;z-index:1;mso-position-horizontal-relative:page;mso-position-vertical-relative:page;mso-wrap-style:none" filled="f" stroked="t" strokecolor="#000000" strokeweight="0.5pt"/>
        <v:rect id="stamp_box_main_revision_row_3_box" style="position:absolute;left:20mm;top:247mm;width:65mm;height:5mm;z-index:1;mso-position-horizontal-relative:page;mso-position-vertical-relative:page;mso-wrap-style:none" filled="f" stroked="t" strokecolor="#000000" strokeweight="0.5pt"/>
        <v:rect id="stamp_box_main_revision_header_box" style="position:absolute;left:20mm;top:257mm;width:65mm;height:5mm;z-index:1;mso-position-horizontal-relative:page;mso-position-vertical-relative:page;mso-wrap-style:none" filled="f" stroked="t" strokecolor="#000000" strokeweight="0.5pt"/>
        <v:rect id="stamp_box_main_developer_row_box" style="position:absolute;left:20mm;top:267mm;width:65mm;height:5mm;z-index:1;mso-position-horizontal-relative:page;mso-position-vertical-relative:page;mso-wrap-style:none" filled="f" stroked="t" strokecolor="#000000" strokeweight="0.5pt"/>
        <v:rect id="stamp_box_main_revision_row_9_box" style="position:absolute;left:20mm;top:277mm;width:65mm;height:5mm;z-index:1;mso-position-horizontal-relative:page;mso-position-vertical-relative:page;mso-wrap-style:none" filled="f" stroked="t" strokecolor="#000000" strokeweight="0.5pt"/>
        <v:rect id="stamp_box_main_revision_row_11_box" style="position:absolute;left:20mm;top:287mm;width:65mm;height:5mm;z-index:1;mso-position-horizontal-relative:page;mso-position-vertical-relative:page;mso-wrap-style:none" filled="f" stroked="t" strokecolor="#000000" strokeweight="0.5pt"/>
        <v:rect id="stamp_box_main_revision_count_column_box" style="position:absolute;left:30mm;top:237mm;width:10mm;height:25mm;z-index:1;mso-position-horizontal-relative:page;mso-position-vertical-relative:page;mso-wrap-style:none" filled="f" stroked="t" strokecolor="#000000" strokeweight="0.5pt"/>
        <v:rect id="stamp_box_main_revision_doc_column_box" style="position:absolute;left:50mm;top:237mm;width:10mm;height:25mm;z-index:1;mso-position-horizontal-relative:page;mso-position-vertical-relative:page;mso-wrap-style:none" filled="f" stroked="t" strokecolor="#000000" strokeweight="0.5pt"/>
        <v:rect id="stamp_box_main_revision_date_column_box" style="position:absolute;left:75mm;top:237mm;width:10mm;height:55mm;z-index:1;mso-position-horizontal-relative:page;mso-position-vertical-relative:page;mso-wrap-style:none" filled="f" stroked="t" strokecolor="#000000" strokeweight="0.5pt"/>
        <v:rect id="stamp_box_main_revision_name_column_box" style="position:absolute;left:40mm;top:262mm;width:20mm;height:30mm;z-index:1;mso-position-horizontal-relative:page;mso-position-vertical-relative:page;mso-wrap-style:none" filled="f" stroked="t" strokecolor="#000000" strokeweight="0.5pt"/>
        <v:rect id="stamp_box_main_title_stage_block_box" style="position:absolute;left:85mm;top:262mm;width:120mm;height:15mm;z-index:1;mso-position-horizontal-relative:page;mso-position-vertical-relative:page;mso-wrap-style:none" filled="f" stroked="t" strokecolor="#000000" strokeweight="0.5pt"/>
        <v:rect id="stamp_box_main_stage_pages_block_box" style="position:absolute;left:155mm;top:262mm;width:50mm;height:30mm;z-index:1;mso-position-horizontal-relative:page;mso-position-vertical-relative:page;mso-wrap-style:none" filled="f" stroked="t" strokecolor="#000000" strokeweight="0.5pt"/>
        <v:rect id="stamp_box_main_stage_pages_header_box" style="position:absolute;left:155mm;top:262mm;width:50mm;height:5mm;z-index:1;mso-position-horizontal-relative:page;mso-position-vertical-relative:page;mso-wrap-style:none" filled="f" stroked="t" strokecolor="#000000" strokeweight="0.5pt"/>
        <v:rect id="stamp_box_main_page_number_column_box" style="position:absolute;left:170mm;top:262mm;width:20mm;height:15mm;z-index:1;mso-position-horizontal-relative:page;mso-position-vertical-relative:page;mso-wrap-style:none" filled="f" stroked="t" strokecolor="#000000" strokeweight="0.5pt"/>
        <v:rect id="stamp_box_main_c7" style="position:absolute;left:20mm;top:237mm;width:10mm;height:5mm;z-index:1;mso-position-horizontal-relative:page;mso-position-vertical-relative:page;mso-wrap-style:none" filled="f" stroked="t" strokecolor="#000000" strokeweight="0.5pt"/>
        <v:rect id="stamp_box_main_c8" style="position:absolute;left:30mm;top:237mm;width:10mm;height:5mm;z-index:1;mso-position-horizontal-relative:page;mso-position-vertical-relative:page;mso-wrap-style:none" filled="f" stroked="t" strokecolor="#000000" strokeweight="0.5pt"/>
        <v:rect id="stamp_box_main_c9" style="position:absolute;left:40mm;top:237mm;width:10mm;height:5mm;z-index:1;mso-position-horizontal-relative:page;mso-position-vertical-relative:page;mso-wrap-style:none" filled="f" stroked="t" strokecolor="#000000" strokeweight="0.5pt"/>
        <v:rect id="stamp_box_main_c10" style="position:absolute;left:50mm;top:237mm;width:10mm;height:5mm;z-index:1;mso-position-horizontal-relative:page;mso-position-vertical-relative:page;mso-wrap-style:none" filled="f" stroked="t" strokecolor="#000000" strokeweight="0.5pt"/>
        <v:rect id="stamp_box_main_c11" style="position:absolute;left:20mm;top:242mm;width:10mm;height:5mm;z-index:1;mso-position-horizontal-relative:page;mso-position-vertical-relative:page;mso-wrap-style:none" filled="f" stroked="t" strokecolor="#000000" strokeweight="0.5pt"/>
        <v:rect id="stamp_box_main_c12" style="position:absolute;left:30mm;top:242mm;width:10mm;height:5mm;z-index:1;mso-position-horizontal-relative:page;mso-position-vertical-relative:page;mso-wrap-style:none" filled="f" stroked="t" strokecolor="#000000" strokeweight="0.5pt"/>
        <v:rect id="stamp_box_main_c13" style="position:absolute;left:40mm;top:242mm;width:10mm;height:5mm;z-index:1;mso-position-horizontal-relative:page;mso-position-vertical-relative:page;mso-wrap-style:none" filled="f" stroked="t" strokecolor="#000000" strokeweight="0.5pt"/>
        <v:rect id="stamp_box_main_c14" style="position:absolute;left:50mm;top:242mm;width:10mm;height:5mm;z-index:1;mso-position-horizontal-relative:page;mso-position-vertical-relative:page;mso-wrap-style:none" filled="f" stroked="t" strokecolor="#000000" strokeweight="0.5pt"/>
        <v:rect id="stamp_box_main_c15" style="position:absolute;left:20mm;top:247mm;width:10mm;height:5mm;z-index:1;mso-position-horizontal-relative:page;mso-position-vertical-relative:page;mso-wrap-style:none" filled="f" stroked="t" strokecolor="#000000" strokeweight="0.5pt"/>
        <v:rect id="stamp_box_main_c16" style="position:absolute;left:30mm;top:247mm;width:10mm;height:5mm;z-index:1;mso-position-horizontal-relative:page;mso-position-vertical-relative:page;mso-wrap-style:none" filled="f" stroked="t" strokecolor="#000000" strokeweight="0.5pt"/>
        <v:rect id="stamp_box_main_c17" style="position:absolute;left:40mm;top:247mm;width:10mm;height:5mm;z-index:1;mso-position-horizontal-relative:page;mso-position-vertical-relative:page;mso-wrap-style:none" filled="f" stroked="t" strokecolor="#000000" strokeweight="0.5pt"/>
        <v:rect id="stamp_box_main_c18" style="position:absolute;left:50mm;top:247mm;width:10mm;height:5mm;z-index:1;mso-position-horizontal-relative:page;mso-position-vertical-relative:page;mso-wrap-style:none" filled="f" stroked="t" strokecolor="#000000" strokeweight="0.5pt"/>
        <v:rect id="stamp_box_main_c19" style="position:absolute;left:20mm;top:252mm;width:10mm;height:5mm;z-index:1;mso-position-horizontal-relative:page;mso-position-vertical-relative:page;mso-wrap-style:none" filled="f" stroked="t" strokecolor="#000000" strokeweight="0.5pt"/>
        <v:rect id="stamp_box_main_c20" style="position:absolute;left:30mm;top:252mm;width:10mm;height:5mm;z-index:1;mso-position-horizontal-relative:page;mso-position-vertical-relative:page;mso-wrap-style:none" filled="f" stroked="t" strokecolor="#000000" strokeweight="0.5pt"/>
        <v:rect id="stamp_box_main_c21" style="position:absolute;left:40mm;top:252mm;width:10mm;height:5mm;z-index:1;mso-position-horizontal-relative:page;mso-position-vertical-relative:page;mso-wrap-style:none" filled="f" stroked="t" strokecolor="#000000" strokeweight="0.5pt"/>
        <v:rect id="stamp_box_main_c22" style="position:absolute;left:50mm;top:252mm;width:10mm;height:5mm;z-index:1;mso-position-horizontal-relative:page;mso-position-vertical-relative:page;mso-wrap-style:none" filled="f" stroked="t" strokecolor="#000000" strokeweight="0.5pt"/>
        <v:rect id="stamp_box_main_revision_1_signature" style="position:absolute;left:60mm;top:237mm;width:15mm;height:5mm;z-index:1;mso-position-horizontal-relative:page;mso-position-vertical-relative:page;mso-wrap-style:none" filled="f" stroked="t" strokecolor="#000000" strokeweight="0.5pt"/>
        <v:rect id="stamp_box_main_revision_1_date" style="position:absolute;left:75mm;top:237mm;width:10mm;height:5mm;z-index:1;mso-position-horizontal-relative:page;mso-position-vertical-relative:page;mso-wrap-style:none" filled="f" stroked="t" strokecolor="#000000" strokeweight="0.5pt"/>
        <v:rect id="stamp_box_main_revision_2_signature" style="position:absolute;left:60mm;top:242mm;width:15mm;height:5mm;z-index:1;mso-position-horizontal-relative:page;mso-position-vertical-relative:page;mso-wrap-style:none" filled="f" stroked="t" strokecolor="#000000" strokeweight="0.5pt"/>
        <v:rect id="stamp_box_main_revision_2_date" style="position:absolute;left:75mm;top:242mm;width:10mm;height:5mm;z-index:1;mso-position-horizontal-relative:page;mso-position-vertical-relative:page;mso-wrap-style:none" filled="f" stroked="t" strokecolor="#000000" strokeweight="0.5pt"/>
        <v:rect id="stamp_box_main_revision_3_signature" style="position:absolute;left:60mm;top:247mm;width:15mm;height:5mm;z-index:1;mso-position-horizontal-relative:page;mso-position-vertical-relative:page;mso-wrap-style:none" filled="f" stroked="t" strokecolor="#000000" strokeweight="0.5pt"/>
        <v:rect id="stamp_box_main_revision_3_date" style="position:absolute;left:75mm;top:247mm;width:10mm;height:5mm;z-index:1;mso-position-horizontal-relative:page;mso-position-vertical-relative:page;mso-wrap-style:none" filled="f" stroked="t" strokecolor="#000000" strokeweight="0.5pt"/>
        <v:rect id="stamp_box_main_revision_4_signature" style="position:absolute;left:60mm;top:252mm;width:15mm;height:5mm;z-index:1;mso-position-horizontal-relative:page;mso-position-vertical-relative:page;mso-wrap-style:none" filled="f" stroked="t" strokecolor="#000000" strokeweight="0.5pt"/>
        <v:rect id="stamp_box_main_revision_4_date" style="position:absolute;left:75mm;top:252mm;width:10mm;height:5mm;z-index:1;mso-position-horizontal-relative:page;mso-position-vertical-relative:page;mso-wrap-style:none" filled="f" stroked="t" strokecolor="#000000" strokeweight="0.5pt"/>
        <v:rect id="stamp_box_main_revision_label" style="position:absolute;left:20mm;top:257mm;width:10mm;height:5mm;z-index:1;mso-position-horizontal-relative:page;mso-position-vertical-relative:page;mso-wrap-style:none" filled="f" stroked="t" strokecolor="#000000" strokeweight="0.5pt"/>
        <v:rect id="stamp_box_main_count_label" style="position:absolute;left:30mm;top:257mm;width:10mm;height:5mm;z-index:1;mso-position-horizontal-relative:page;mso-position-vertical-relative:page;mso-wrap-style:none" filled="f" stroked="t" strokecolor="#000000" strokeweight="0.5pt"/>
        <v:rect id="stamp_box_main_sheet_label" style="position:absolute;left:40mm;top:257mm;width:10mm;height:5mm;z-index:1;mso-position-horizontal-relative:page;mso-position-vertical-relative:page;mso-wrap-style:none" filled="f" stroked="t" strokecolor="#000000" strokeweight="0.5pt"/>
        <v:rect id="stamp_box_main_doc_label" style="position:absolute;left:50mm;top:257mm;width:10mm;height:5mm;z-index:1;mso-position-horizontal-relative:page;mso-position-vertical-relative:page;mso-wrap-style:none" filled="f" stroked="t" strokecolor="#000000" strokeweight="0.5pt"/>
        <v:rect id="stamp_box_main_signature_label" style="position:absolute;left:60mm;top:257mm;width:15mm;height:5mm;z-index:1;mso-position-horizontal-relative:page;mso-position-vertical-relative:page;mso-wrap-style:none" filled="f" stroked="t" strokecolor="#000000" strokeweight="0.5pt"/>
        <v:rect id="stamp_box_main_date_label" style="position:absolute;left:75mm;top:257mm;width:10mm;height:5mm;z-index:1;mso-position-horizontal-relative:page;mso-position-vertical-relative:page;mso-wrap-style:none" filled="f" stroked="t" strokecolor="#000000" strokeweight="0.5pt"/>
        <v:rect id="stamp_box_main_developer_label" style="position:absolute;left:20mm;top:267mm;width:20mm;height:5mm;z-index:1;mso-position-horizontal-relative:page;mso-position-vertical-relative:page;mso-wrap-style:none" filled="f" stroked="t" strokecolor="#000000" strokeweight="0.5pt"/>
        <v:rect id="stamp_box_main_developer_name" style="position:absolute;left:40mm;top:267mm;width:20mm;height:5mm;z-index:1;mso-position-horizontal-relative:page;mso-position-vertical-relative:page;mso-wrap-style:none" filled="f" stroked="t" strokecolor="#000000" strokeweight="0.5pt"/>
        <v:rect id="stamp_box_main_developer_signature" style="position:absolute;left:60mm;top:267mm;width:15mm;height:5mm;z-index:1;mso-position-horizontal-relative:page;mso-position-vertical-relative:page;mso-wrap-style:none" filled="f" stroked="t" strokecolor="#000000" strokeweight="0.5pt"/>
        <v:rect id="stamp_box_main_developer_date" style="position:absolute;left:75mm;top:267mm;width:10mm;height:5mm;z-index:1;mso-position-horizontal-relative:page;mso-position-vertical-relative:page;mso-wrap-style:none" filled="f" stroked="t" strokecolor="#000000" strokeweight="0.5pt"/>
        <v:rect id="stamp_box_main_checker_label" style="position:absolute;left:20mm;top:272mm;width:20mm;height:5mm;z-index:1;mso-position-horizontal-relative:page;mso-position-vertical-relative:page;mso-wrap-style:none" filled="f" stroked="t" strokecolor="#000000" strokeweight="0.5pt"/>
        <v:rect id="stamp_box_main_checker_name" style="position:absolute;left:40mm;top:272mm;width:20mm;height:5mm;z-index:1;mso-position-horizontal-relative:page;mso-position-vertical-relative:page;mso-wrap-style:none" filled="f" stroked="t" strokecolor="#000000" strokeweight="0.5pt"/>
        <v:rect id="stamp_box_main_checker_signature" style="position:absolute;left:60mm;top:272mm;width:15mm;height:5mm;z-index:1;mso-position-horizontal-relative:page;mso-position-vertical-relative:page;mso-wrap-style:none" filled="f" stroked="t" strokecolor="#000000" strokeweight="0.5pt"/>
        <v:rect id="stamp_box_main_checker_date" style="position:absolute;left:75mm;top:272mm;width:10mm;height:5mm;z-index:1;mso-position-horizontal-relative:page;mso-position-vertical-relative:page;mso-wrap-style:none" filled="f" stroked="t" strokecolor="#000000" strokeweight="0.5pt"/>
        <v:rect id="stamp_box_main_approval_1_role" style="position:absolute;left:20mm;top:277mm;width:20mm;height:5mm;z-index:1;mso-position-horizontal-relative:page;mso-position-vertical-relative:page;mso-wrap-style:none" filled="f" stroked="t" strokecolor="#000000" strokeweight="0.5pt"/>
        <v:rect id="stamp_box_main_approval_1_name" style="position:absolute;left:40mm;top:277mm;width:20mm;height:5mm;z-index:1;mso-position-horizontal-relative:page;mso-position-vertical-relative:page;mso-wrap-style:none" filled="f" stroked="t" strokecolor="#000000" strokeweight="0.5pt"/>
        <v:rect id="stamp_box_main_approval_1_signature" style="position:absolute;left:60mm;top:277mm;width:15mm;height:5mm;z-index:1;mso-position-horizontal-relative:page;mso-position-vertical-relative:page;mso-wrap-style:none" filled="f" stroked="t" strokecolor="#000000" strokeweight="0.5pt"/>
        <v:rect id="stamp_box_main_approval_1_date" style="position:absolute;left:75mm;top:277mm;width:10mm;height:5mm;z-index:1;mso-position-horizontal-relative:page;mso-position-vertical-relative:page;mso-wrap-style:none" filled="f" stroked="t" strokecolor="#000000" strokeweight="0.5pt"/>
        <v:rect id="stamp_box_main_approval_2_role" style="position:absolute;left:20mm;top:282mm;width:20mm;height:5mm;z-index:1;mso-position-horizontal-relative:page;mso-position-vertical-relative:page;mso-wrap-style:none" filled="f" stroked="t" strokecolor="#000000" strokeweight="0.5pt"/>
        <v:rect id="stamp_box_main_approval_2_name" style="position:absolute;left:40mm;top:282mm;width:20mm;height:5mm;z-index:1;mso-position-horizontal-relative:page;mso-position-vertical-relative:page;mso-wrap-style:none" filled="f" stroked="t" strokecolor="#000000" strokeweight="0.5pt"/>
        <v:rect id="stamp_box_main_approval_2_signature" style="position:absolute;left:60mm;top:282mm;width:15mm;height:5mm;z-index:1;mso-position-horizontal-relative:page;mso-position-vertical-relative:page;mso-wrap-style:none" filled="f" stroked="t" strokecolor="#000000" strokeweight="0.5pt"/>
        <v:rect id="stamp_box_main_approval_2_date" style="position:absolute;left:75mm;top:282mm;width:10mm;height:5mm;z-index:1;mso-position-horizontal-relative:page;mso-position-vertical-relative:page;mso-wrap-style:none" filled="f" stroked="t" strokecolor="#000000" strokeweight="0.5pt"/>
        <v:rect id="stamp_box_main_approval_3_role" style="position:absolute;left:20mm;top:287mm;width:20mm;height:5mm;z-index:1;mso-position-horizontal-relative:page;mso-position-vertical-relative:page;mso-wrap-style:none" filled="f" stroked="t" strokecolor="#000000" strokeweight="0.5pt"/>
        <v:rect id="stamp_box_main_approval_3_name" style="position:absolute;left:40mm;top:287mm;width:20mm;height:5mm;z-index:1;mso-position-horizontal-relative:page;mso-position-vertical-relative:page;mso-wrap-style:none" filled="f" stroked="t" strokecolor="#000000" strokeweight="0.5pt"/>
        <v:rect id="stamp_box_main_approval_3_signature" style="position:absolute;left:60mm;top:287mm;width:15mm;height:5mm;z-index:1;mso-position-horizontal-relative:page;mso-position-vertical-relative:page;mso-wrap-style:none" filled="f" stroked="t" strokecolor="#000000" strokeweight="0.5pt"/>
        <v:rect id="stamp_box_main_approval_3_date" style="position:absolute;left:75mm;top:287mm;width:10mm;height:5mm;z-index:1;mso-position-horizontal-relative:page;mso-position-vertical-relative:page;mso-wrap-style:none" filled="f" stroked="t" strokecolor="#000000" strokeweight="0.5pt"/>
        <v:rect id="stamp_box_main_document_code" style="position:absolute;left:85mm;top:237mm;width:120mm;height:10mm;z-index:1;mso-position-horizontal-relative:page;mso-position-vertical-relative:page;mso-wrap-style:none" filled="f" stroked="t" strokecolor="#000000" strokeweight="0.5pt"/>
        <v:rect id="stamp_box_main_project_name" style="position:absolute;left:85mm;top:247mm;width:120mm;height:15mm;z-index:1;mso-position-horizontal-relative:page;mso-position-vertical-relative:page;mso-wrap-style:none" filled="f" stroked="t" strokecolor="#000000" strokeweight="0.5pt"/>
        <v:rect id="stamp_box_main_document_title" style="position:absolute;left:85mm;top:262mm;width:70mm;height:15mm;z-index:1;mso-position-horizontal-relative:page;mso-position-vertical-relative:page;mso-wrap-style:none" filled="f" stroked="t" strokecolor="#000000" strokeweight="0.5pt"/>
        <v:rect id="stamp_box_main_title_extra" style="position:absolute;left:85mm;top:277mm;width:70mm;height:15mm;z-index:1;mso-position-horizontal-relative:page;mso-position-vertical-relative:page;mso-wrap-style:none" filled="f" stroked="t" strokecolor="#000000" strokeweight="0.5pt"/>
        <v:rect id="stamp_box_main_company_mark" style="position:absolute;left:155mm;top:277mm;width:50mm;height:15mm;z-index:1;mso-position-horizontal-relative:page;mso-position-vertical-relative:page;mso-wrap-style:none" filled="f" stroked="t" strokecolor="#000000" strokeweight="0.5pt"/>
        <v:rect id="stamp_box_main_stage_label" style="position:absolute;left:155mm;top:262mm;width:15mm;height:5mm;z-index:1;mso-position-horizontal-relative:page;mso-position-vertical-relative:page;mso-wrap-style:none" filled="f" stroked="t" strokecolor="#000000" strokeweight="0.5pt"/>
        <v:rect id="stamp_box_main_page_number_label" style="position:absolute;left:170mm;top:262mm;width:20mm;height:5mm;z-index:1;mso-position-horizontal-relative:page;mso-position-vertical-relative:page;mso-wrap-style:none" filled="f" stroked="t" strokecolor="#000000" strokeweight="0.5pt"/>
        <v:rect id="stamp_box_main_page_count_label" style="position:absolute;left:190mm;top:262mm;width:15mm;height:5mm;z-index:1;mso-position-horizontal-relative:page;mso-position-vertical-relative:page;mso-wrap-style:none" filled="f" stroked="t" strokecolor="#000000" strokeweight="0.5pt"/>
        <v:rect id="stamp_box_main_stage" style="position:absolute;left:155mm;top:267mm;width:15mm;height:10mm;z-index:1;mso-position-horizontal-relative:page;mso-position-vertical-relative:page;mso-wrap-style:none" filled="f" stroked="t" strokecolor="#000000" strokeweight="0.5pt"/>
        <v:rect id="stamp_box_main_page_number" style="position:absolute;left:170mm;top:267mm;width:20mm;height:10mm;z-index:1;mso-position-horizontal-relative:page;mso-position-vertical-relative:page;mso-wrap-style:none" filled="f" stroked="t" strokecolor="#000000" strokeweight="0.5pt"/>
        <v:rect id="stamp_box_main_page_count" style="position:absolute;left:190mm;top:267mm;width:15mm;height:10mm;z-index:1;mso-position-horizontal-relative:page;mso-position-vertical-relative:page;mso-wrap-style:none" filled="f" stroked="t" strokecolor="#000000" strokeweight="0.5pt"/>
        <v:shape id="stamp_text_main_revision_label" type="#_x0000_t202" style="position:absolute;left:20mm;top:25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Зм.</w:t>
                </w:r>
              </w:p>
            </w:txbxContent>
          </v:textbox>
        </v:shape>
        <v:shape id="stamp_text_main_count_label" type="#_x0000_t202" style="position:absolute;left:30mm;top:25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Кільк.</w:t>
                </w:r>
              </w:p>
            </w:txbxContent>
          </v:textbox>
        </v:shape>
        <v:shape id="stamp_text_main_sheet_label" type="#_x0000_t202" style="position:absolute;left:40mm;top:25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Арк.</w:t>
                </w:r>
              </w:p>
            </w:txbxContent>
          </v:textbox>
        </v:shape>
        <v:shape id="stamp_text_main_doc_label" type="#_x0000_t202" style="position:absolute;left:50mm;top:25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№Док.</w:t>
                </w:r>
              </w:p>
            </w:txbxContent>
          </v:textbox>
        </v:shape>
        <v:shape id="stamp_text_main_signature_label" type="#_x0000_t202" style="position:absolute;left:60mm;top:257mm;width:15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Підпис</w:t>
                </w:r>
              </w:p>
            </w:txbxContent>
          </v:textbox>
        </v:shape>
        <v:shape id="stamp_text_main_date_label" type="#_x0000_t202" style="position:absolute;left:75mm;top:25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Дата</w:t>
                </w:r>
              </w:p>
            </w:txbxContent>
          </v:textbox>
        </v:shape>
        <v:shape id="stamp_text_main_developer_label" type="#_x0000_t202" style="position:absolute;left:20mm;top:267mm;width:2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Розробив</w:t>
                </w:r>
              </w:p>
            </w:txbxContent>
          </v:textbox>
        </v:shape>
        <v:shape id="stamp_text_main_checker_label" type="#_x0000_t202" style="position:absolute;left:20mm;top:272mm;width:2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Перевірив</w:t>
                </w:r>
              </w:p>
            </w:txbxContent>
          </v:textbox>
        </v:shape>
        <v:shape id="stamp_text_main_project_name" type="#_x0000_t202" style="position:absolute;left:85mm;top:247mm;width:120mm;height:15mm;z-index:2;mso-position-horizontal-relative:page;mso-position-vertical-relative:page;mso-wrap-style:square;v-text-anchor:middle" filled="f" stroked="f">
          <v:textbox inset="1pt,0pt,1pt,0pt">
            <w:txbxContent>
              <w:p>
                <w:pPr>
                  <w:jc w:val="left"/>
                </w:pPr>
                <w:r>
                  <w:rPr>
                    <w:rFonts w:ascii="Arial" w:hAnsi="Arial"/>
                    <w:sz w:val="20"/>
                    <w:w w:val="100"/>
                  </w:rPr>
                  <w:t xml:space="preserve">Приклад теплотехнічного розрахунку</w:t>
                </w:r>
              </w:p>
            </w:txbxContent>
          </v:textbox>
        </v:shape>
        <v:shape id="stamp_text_main_stage_label" type="#_x0000_t202" style="position:absolute;left:155mm;top:262mm;width:15mm;height:5mm;z-index:2;mso-position-horizontal-relative:page;mso-position-vertical-relative:page;mso-wrap-style:square;v-text-anchor:middle" filled="f" stroked="f">
          <v:textbox inset="1pt,0pt,1pt,0pt">
            <w:txbxContent>
              <w:p>
                <w:pPr>
                  <w:jc w:val="center"/>
                </w:pPr>
                <w:r>
                  <w:rPr>
                    <w:rFonts w:ascii="Arial" w:hAnsi="Arial"/>
                    <w:sz w:val="16"/>
                    <w:w w:val="100"/>
                  </w:rPr>
                  <w:t xml:space="preserve">Стадія</w:t>
                </w:r>
              </w:p>
            </w:txbxContent>
          </v:textbox>
        </v:shape>
        <v:shape id="stamp_text_main_page_number_label" type="#_x0000_t202" style="position:absolute;left:170mm;top:262mm;width:20mm;height:5mm;z-index:2;mso-position-horizontal-relative:page;mso-position-vertical-relative:page;mso-wrap-style:square;v-text-anchor:middle" filled="f" stroked="f">
          <v:textbox inset="1pt,0pt,1pt,0pt">
            <w:txbxContent>
              <w:p>
                <w:pPr>
                  <w:jc w:val="center"/>
                </w:pPr>
                <w:r>
                  <w:rPr>
                    <w:rFonts w:ascii="Arial" w:hAnsi="Arial"/>
                    <w:sz w:val="16"/>
                    <w:w w:val="100"/>
                  </w:rPr>
                  <w:t xml:space="preserve">Аркуш</w:t>
                </w:r>
              </w:p>
            </w:txbxContent>
          </v:textbox>
        </v:shape>
        <v:shape id="stamp_text_main_page_count_label" type="#_x0000_t202" style="position:absolute;left:190mm;top:262mm;width:15mm;height:5mm;z-index:2;mso-position-horizontal-relative:page;mso-position-vertical-relative:page;mso-wrap-style:square;v-text-anchor:middle" filled="f" stroked="f">
          <v:textbox inset="1pt,0pt,1pt,0pt">
            <w:txbxContent>
              <w:p>
                <w:pPr>
                  <w:jc w:val="center"/>
                </w:pPr>
                <w:r>
                  <w:rPr>
                    <w:rFonts w:ascii="Arial" w:hAnsi="Arial"/>
                    <w:sz w:val="16"/>
                    <w:w w:val="100"/>
                  </w:rPr>
                  <w:t xml:space="preserve">Аркушів</w:t>
                </w:r>
              </w:p>
            </w:txbxContent>
          </v:textbox>
        </v:shape>
        <v:shape id="stamp_text_main_page_number" type="#_x0000_t202" style="position:absolute;left:170mm;top:267mm;width:20mm;height:10mm;z-index:2;mso-position-horizontal-relative:page;mso-position-vertical-relative:page;mso-wrap-style:square;v-text-anchor:middle" filled="f" stroked="f">
          <v:textbox inset="0pt,0pt,0pt,0pt">
            <w:txbxContent>
              <w:p>
                <w:pPr>
                  <w:jc w:val="center"/>
                </w:pPr>
                <w:fldSimple w:instr=" PAGE ">
                  <w:r>
                    <w:rPr>
                      <w:rFonts w:ascii="Arial" w:hAnsi="Arial"/>
                      <w:sz w:val="20"/>
                      <w:w w:val="100"/>
                    </w:rPr>
                    <w:t xml:space="preserve">1</w:t>
                  </w:r>
                </w:fldSimple>
              </w:p>
            </w:txbxContent>
          </v:textbox>
        </v:shape>
        <v:shape id="stamp_text_main_page_count" type="#_x0000_t202" style="position:absolute;left:190mm;top:267mm;width:15mm;height:10mm;z-index:2;mso-position-horizontal-relative:page;mso-position-vertical-relative:page;mso-wrap-style:square;v-text-anchor:middle" filled="f" stroked="f">
          <v:textbox inset="0pt,0pt,0pt,0pt">
            <w:txbxContent>
              <w:p>
                <w:pPr>
                  <w:jc w:val="center"/>
                </w:pPr>
                <w:fldSimple w:instr=" NUMPAGES ">
                  <w:r>
                    <w:rPr>
                      <w:rFonts w:ascii="Arial" w:hAnsi="Arial"/>
                      <w:sz w:val="20"/>
                      <w:w w:val="100"/>
                    </w:rPr>
                    <w:t xml:space="preserve">1</w:t>
                  </w:r>
                </w:fldSimple>
              </w:p>
            </w:txbxContent>
          </v:textbox>
        </v:shape>
      </w:pict>
    </w:r>
  </w:p>
</w:ftr>
</file>

<file path=word/footer2.xml><?xml version="1.0" encoding="utf-8"?>
<w:ftr xmlns:w="http://schemas.openxmlformats.org/wordprocessingml/2006/main" xmlns:r="http://schemas.openxmlformats.org/officeDocument/2006/relationships" xmlns:v="urn:schemas-microsoft-com:vml" xmlns:o="urn:schemas-microsoft-com:office:office">
  <w:p>
    <w:r>
      <w:pict>
        <v:shapetype id="_x0000_t202" coordsize="21600,21600" o:spt="202" path="m,l,21600r21600,l21600,xe">
          <v:stroke joinstyle="miter"/>
          <v:path gradientshapeok="t" o:connecttype="rect"/>
        </v:shapetype>
        <v:rect id="stamp_page_frame_small" style="position:absolute;left:20mm;top:5mm;width:185mm;height:272mm;z-index:0;mso-position-horizontal-relative:page;mso-position-vertical-relative:page;mso-wrap-style:none" filled="f" stroked="t" strokecolor="#000000" strokeweight="0.5pt"/>
        <v:rect id="stamp_body_guard_small" style="position:absolute;left:20mm;top:277mm;width:185mm;height:15mm;z-index:0;mso-position-horizontal-relative:page;mso-position-vertical-relative:page;mso-wrap-style:square" filled="f" stroked="f"/>
        <v:rect id="stamp_box_mini_stamp_outer" style="position:absolute;left:20mm;top:277mm;width:185mm;height:15mm;z-index:1;mso-position-horizontal-relative:page;mso-position-vertical-relative:page;mso-wrap-style:none" filled="f" stroked="t" strokecolor="#000000" strokeweight="0.5pt"/>
        <v:rect id="stamp_box_mini_revision_outer" style="position:absolute;left:20mm;top:277mm;width:65mm;height:15mm;z-index:1;mso-position-horizontal-relative:page;mso-position-vertical-relative:page;mso-wrap-style:none" filled="f" stroked="t" strokecolor="#000000" strokeweight="0.5pt"/>
        <v:rect id="stamp_box_mini_revision_row_1_box" style="position:absolute;left:20mm;top:277mm;width:65mm;height:5mm;z-index:1;mso-position-horizontal-relative:page;mso-position-vertical-relative:page;mso-wrap-style:none" filled="f" stroked="t" strokecolor="#000000" strokeweight="0.5pt"/>
        <v:rect id="stamp_box_mini_revision_row_3_box" style="position:absolute;left:20mm;top:287mm;width:65mm;height:5mm;z-index:1;mso-position-horizontal-relative:page;mso-position-vertical-relative:page;mso-wrap-style:none" filled="f" stroked="t" strokecolor="#000000" strokeweight="0.5pt"/>
        <v:rect id="stamp_box_mini_revision_count_column_box" style="position:absolute;left:30mm;top:277mm;width:10mm;height:15mm;z-index:1;mso-position-horizontal-relative:page;mso-position-vertical-relative:page;mso-wrap-style:none" filled="f" stroked="t" strokecolor="#000000" strokeweight="0.5pt"/>
        <v:rect id="stamp_box_mini_revision_doc_column_box" style="position:absolute;left:50mm;top:277mm;width:10mm;height:15mm;z-index:1;mso-position-horizontal-relative:page;mso-position-vertical-relative:page;mso-wrap-style:none" filled="f" stroked="t" strokecolor="#000000" strokeweight="0.5pt"/>
        <v:rect id="stamp_box_mini_revision_date_column_box" style="position:absolute;left:75mm;top:277mm;width:10mm;height:15mm;z-index:1;mso-position-horizontal-relative:page;mso-position-vertical-relative:page;mso-wrap-style:none" filled="f" stroked="t" strokecolor="#000000" strokeweight="0.5pt"/>
        <v:rect id="stamp_box_mini_document_code" style="position:absolute;left:85mm;top:277mm;width:110mm;height:15mm;z-index:1;mso-position-horizontal-relative:page;mso-position-vertical-relative:page;mso-wrap-style:none" filled="f" stroked="t" strokecolor="#000000" strokeweight="0.5pt"/>
        <v:rect id="stamp_box_mini_page_number_label" style="position:absolute;left:195mm;top:277mm;width:10mm;height:5mm;z-index:1;mso-position-horizontal-relative:page;mso-position-vertical-relative:page;mso-wrap-style:none" filled="f" stroked="t" strokecolor="#000000" strokeweight="0.5pt"/>
        <v:rect id="stamp_box_mini_page_number" style="position:absolute;left:195mm;top:282mm;width:10mm;height:10mm;z-index:1;mso-position-horizontal-relative:page;mso-position-vertical-relative:page;mso-wrap-style:none" filled="f" stroked="t" strokecolor="#000000" strokeweight="0.5pt"/>
        <v:rect id="stamp_box_mini_revision_change" style="position:absolute;left:20mm;top:277mm;width:10mm;height:5mm;z-index:1;mso-position-horizontal-relative:page;mso-position-vertical-relative:page;mso-wrap-style:none" filled="f" stroked="t" strokecolor="#000000" strokeweight="0.5pt"/>
        <v:rect id="stamp_box_mini_revision_count" style="position:absolute;left:30mm;top:277mm;width:10mm;height:5mm;z-index:1;mso-position-horizontal-relative:page;mso-position-vertical-relative:page;mso-wrap-style:none" filled="f" stroked="t" strokecolor="#000000" strokeweight="0.5pt"/>
        <v:rect id="stamp_box_mini_revision_sheet" style="position:absolute;left:40mm;top:277mm;width:10mm;height:5mm;z-index:1;mso-position-horizontal-relative:page;mso-position-vertical-relative:page;mso-wrap-style:none" filled="f" stroked="t" strokecolor="#000000" strokeweight="0.5pt"/>
        <v:rect id="stamp_box_mini_revision_doc" style="position:absolute;left:50mm;top:277mm;width:10mm;height:5mm;z-index:1;mso-position-horizontal-relative:page;mso-position-vertical-relative:page;mso-wrap-style:none" filled="f" stroked="t" strokecolor="#000000" strokeweight="0.5pt"/>
        <v:rect id="stamp_box_mini_revision_signature" style="position:absolute;left:60mm;top:277mm;width:15mm;height:5mm;z-index:1;mso-position-horizontal-relative:page;mso-position-vertical-relative:page;mso-wrap-style:none" filled="f" stroked="t" strokecolor="#000000" strokeweight="0.5pt"/>
        <v:rect id="stamp_box_mini_revision_date" style="position:absolute;left:75mm;top:277mm;width:10mm;height:5mm;z-index:1;mso-position-horizontal-relative:page;mso-position-vertical-relative:page;mso-wrap-style:none" filled="f" stroked="t" strokecolor="#000000" strokeweight="0.5pt"/>
        <v:rect id="stamp_box_mini_revision_label" style="position:absolute;left:20mm;top:287mm;width:10mm;height:5mm;z-index:1;mso-position-horizontal-relative:page;mso-position-vertical-relative:page;mso-wrap-style:none" filled="f" stroked="t" strokecolor="#000000" strokeweight="0.5pt"/>
        <v:rect id="stamp_box_mini_count_label" style="position:absolute;left:30mm;top:287mm;width:10mm;height:5mm;z-index:1;mso-position-horizontal-relative:page;mso-position-vertical-relative:page;mso-wrap-style:none" filled="f" stroked="t" strokecolor="#000000" strokeweight="0.5pt"/>
        <v:rect id="stamp_box_mini_sheet_label" style="position:absolute;left:40mm;top:287mm;width:10mm;height:5mm;z-index:1;mso-position-horizontal-relative:page;mso-position-vertical-relative:page;mso-wrap-style:none" filled="f" stroked="t" strokecolor="#000000" strokeweight="0.5pt"/>
        <v:rect id="stamp_box_mini_doc_label" style="position:absolute;left:50mm;top:287mm;width:10mm;height:5mm;z-index:1;mso-position-horizontal-relative:page;mso-position-vertical-relative:page;mso-wrap-style:none" filled="f" stroked="t" strokecolor="#000000" strokeweight="0.5pt"/>
        <v:rect id="stamp_box_mini_signature_label" style="position:absolute;left:60mm;top:287mm;width:15mm;height:5mm;z-index:1;mso-position-horizontal-relative:page;mso-position-vertical-relative:page;mso-wrap-style:none" filled="f" stroked="t" strokecolor="#000000" strokeweight="0.5pt"/>
        <v:rect id="stamp_box_mini_date_label" style="position:absolute;left:75mm;top:287mm;width:10mm;height:5mm;z-index:1;mso-position-horizontal-relative:page;mso-position-vertical-relative:page;mso-wrap-style:none" filled="f" stroked="t" strokecolor="#000000" strokeweight="0.5pt"/>
        <v:shape id="stamp_text_mini_page_number_label" type="#_x0000_t202" style="position:absolute;left:195mm;top:277mm;width:10mm;height:5mm;z-index:2;mso-position-horizontal-relative:page;mso-position-vertical-relative:page;mso-wrap-style:square;v-text-anchor:middle" filled="f" stroked="f">
          <v:textbox inset="1pt,0pt,1pt,0pt">
            <w:txbxContent>
              <w:p>
                <w:pPr>
                  <w:jc w:val="center"/>
                </w:pPr>
                <w:r>
                  <w:rPr>
                    <w:rFonts w:ascii="Arial" w:hAnsi="Arial"/>
                    <w:sz w:val="16"/>
                    <w:w w:val="100"/>
                  </w:rPr>
                  <w:t xml:space="preserve">Арк.</w:t>
                </w:r>
              </w:p>
            </w:txbxContent>
          </v:textbox>
        </v:shape>
        <v:shape id="stamp_text_mini_page_number" type="#_x0000_t202" style="position:absolute;left:195mm;top:282mm;width:10mm;height:10mm;z-index:2;mso-position-horizontal-relative:page;mso-position-vertical-relative:page;mso-wrap-style:square;v-text-anchor:middle" filled="f" stroked="f">
          <v:textbox inset="0pt,0pt,0pt,0pt">
            <w:txbxContent>
              <w:p>
                <w:pPr>
                  <w:jc w:val="center"/>
                </w:pPr>
                <w:fldSimple w:instr=" PAGE ">
                  <w:r>
                    <w:rPr>
                      <w:rFonts w:ascii="Arial" w:hAnsi="Arial"/>
                      <w:sz w:val="20"/>
                      <w:w w:val="100"/>
                    </w:rPr>
                    <w:t xml:space="preserve">1</w:t>
                  </w:r>
                </w:fldSimple>
              </w:p>
            </w:txbxContent>
          </v:textbox>
        </v:shape>
        <v:shape id="stamp_text_mini_revision_label" type="#_x0000_t202" style="position:absolute;left:20mm;top:28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Зм.</w:t>
                </w:r>
              </w:p>
            </w:txbxContent>
          </v:textbox>
        </v:shape>
        <v:shape id="stamp_text_mini_count_label" type="#_x0000_t202" style="position:absolute;left:30mm;top:28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Кільк.</w:t>
                </w:r>
              </w:p>
            </w:txbxContent>
          </v:textbox>
        </v:shape>
        <v:shape id="stamp_text_mini_sheet_label" type="#_x0000_t202" style="position:absolute;left:40mm;top:28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Арк.</w:t>
                </w:r>
              </w:p>
            </w:txbxContent>
          </v:textbox>
        </v:shape>
        <v:shape id="stamp_text_mini_doc_label" type="#_x0000_t202" style="position:absolute;left:50mm;top:28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№Док.</w:t>
                </w:r>
              </w:p>
            </w:txbxContent>
          </v:textbox>
        </v:shape>
        <v:shape id="stamp_text_mini_signature_label" type="#_x0000_t202" style="position:absolute;left:60mm;top:287mm;width:15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Підпис</w:t>
                </w:r>
              </w:p>
            </w:txbxContent>
          </v:textbox>
        </v:shape>
        <v:shape id="stamp_text_mini_date_label" type="#_x0000_t202" style="position:absolute;left:75mm;top:28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Дата</w:t>
                </w:r>
              </w:p>
            </w:txbxContent>
          </v:textbox>
        </v:shape>
      </w:pict>
    </w:r>
  </w:p>
</w:ftr>
</file>

<file path=word/numbering.xml><?xml version="1.0" encoding="utf-8"?>
<w:numbering xmlns:w="http://schemas.openxmlformats.org/wordprocessingml/2006/main">
  <w:abstractNum w:abstractNumId="1">
    <w:nsid w:val="EEC00001"/>
    <w:multiLevelType w:val="multilevel"/>
    <w:lvl w:ilvl="0">
      <w:start w:val="1"/>
      <w:numFmt w:val="decimal"/>
      <w:lvlText w:val="%1"/>
      <w:lvlJc w:val="left"/>
      <w:suff w:val="space"/>
      <w:rPr>
        <w:b/>
      </w:rPr>
    </w:lvl>
    <w:lvl w:ilvl="1">
      <w:start w:val="1"/>
      <w:numFmt w:val="decimal"/>
      <w:lvlText w:val="%1.%2"/>
      <w:lvlJc w:val="left"/>
      <w:suff w:val="space"/>
      <w:rPr>
        <w:b/>
      </w:rPr>
    </w:lvl>
    <w:lvl w:ilvl="2">
      <w:start w:val="1"/>
      <w:numFmt w:val="decimal"/>
      <w:lvlText w:val="%1.%2.%3"/>
      <w:lvlJc w:val="left"/>
      <w:suff w:val="space"/>
      <w:rPr>
        <w:b/>
      </w:rPr>
    </w:lvl>
    <w:lvl w:ilvl="3">
      <w:start w:val="1"/>
      <w:numFmt w:val="decimal"/>
      <w:lvlText w:val="%1.%2.%3.%4"/>
      <w:lvlJc w:val="left"/>
      <w:suff w:val="space"/>
      <w:rPr>
        <w:b/>
      </w:rPr>
    </w:lvl>
    <w:lvl w:ilvl="4">
      <w:start w:val="1"/>
      <w:numFmt w:val="decimal"/>
      <w:lvlText w:val="%1.%2.%3.%4.%5"/>
      <w:lvlJc w:val="left"/>
      <w:suff w:val="space"/>
      <w:rPr>
        <w:b/>
      </w:rPr>
    </w:lvl>
    <w:lvl w:ilvl="5">
      <w:start w:val="1"/>
      <w:numFmt w:val="decimal"/>
      <w:lvlText w:val="%1.%2.%3.%4.%5.%6"/>
      <w:lvlJc w:val="left"/>
      <w:suff w:val="space"/>
      <w:rPr>
        <w:b/>
      </w:rPr>
    </w:lvl>
    <w:lvl w:ilvl="6">
      <w:start w:val="1"/>
      <w:numFmt w:val="decimal"/>
      <w:lvlText w:val="%1.%2.%3.%4.%5.%6.%7"/>
      <w:lvlJc w:val="left"/>
      <w:suff w:val="space"/>
      <w:rPr>
        <w:b/>
      </w:rPr>
    </w:lvl>
    <w:lvl w:ilvl="7">
      <w:start w:val="1"/>
      <w:numFmt w:val="decimal"/>
      <w:lvlText w:val="%1.%2.%3.%4.%5.%6.%7.%8"/>
      <w:lvlJc w:val="left"/>
      <w:suff w:val="space"/>
      <w:rPr>
        <w:b/>
      </w:rPr>
    </w:lvl>
    <w:lvl w:ilvl="8">
      <w:start w:val="1"/>
      <w:numFmt w:val="decimal"/>
      <w:lvlText w:val="%1.%2.%3.%4.%5.%6.%7.%8.%9"/>
      <w:lvlJc w:val="left"/>
      <w:suff w:val="space"/>
      <w:rPr>
        <w:b/>
      </w:rPr>
    </w:lvl>
  </w:abstractNum>
  <w:abstractNum w:abstractNumId="99">
    <w:nsid w:val="EEC00099"/>
    <w:multiLevelType w:val="singleLevel"/>
    <w:lvl w:ilvl="0">
      <w:start w:val="1"/>
      <w:numFmt w:val="bullet"/>
      <w:lvlText w:val="•"/>
      <w:lvlJc w:val="left"/>
      <w:suff w:val="space"/>
      <w:pPr>
        <w:ind w:left="360" w:hanging="180"/>
      </w:pPr>
    </w:lvl>
  </w:abstractNum>
  <w:num w:numId="1">
    <w:abstractNumId w:val="1"/>
  </w:num>
  <w:num w:numId="99">
    <w:abstractNumId w:val="99"/>
  </w:num>
</w:numbering>
</file>

<file path=word/settings.xml><?xml version="1.0" encoding="utf-8"?>
<w:settings xmlns:w="http://schemas.openxmlformats.org/wordprocessingml/2006/main" xmlns:m="http://schemas.openxmlformats.org/officeDocument/2006/math">
  <w:compat/>
  <w:defaultTabStop w:val="708"/>
  <w:updateFields w:val="true"/>
  <m:mathPr>
    <m:mathFont m:val="Cambria Math"/>
    <m:dispDef/>
  </m:mathPr>
</w:settings>
</file>

<file path=word/styles.xml><?xml version="1.0" encoding="utf-8"?>
<w:styles xmlns:w="http://schemas.openxmlformats.org/wordprocessingml/2006/main">
  <w:style w:type="paragraph" w:styleId="CadEENormalText">
    <w:name w:val="CadEENormal Text"/>
    <w:rPr>
      <w:rFonts w:ascii="Arial" w:hAnsi="Arial"/>
      <w:sz w:val="20"/>
    </w:rPr>
    <w:pPr>
      <w:spacing w:before="0" w:after="0" w:line="240" w:lineRule="auto"/>
      <w:ind w:left="120" w:right="120"/>
      <w:jc w:val="both"/>
    </w:pPr>
  </w:style>
  <w:style w:type="paragraph" w:styleId="CadEEDocumentTitle">
    <w:name w:val="CadEE Document Title"/>
    <w:rPr>
      <w:rFonts w:ascii="Arial" w:hAnsi="Arial"/>
      <w:sz w:val="28"/>
      <w:b/>
    </w:rPr>
    <w:pPr>
      <w:spacing w:before="0" w:after="0" w:line="240" w:lineRule="auto"/>
      <w:outlineLvl w:val="0"/>
    </w:pPr>
  </w:style>
  <w:style w:type="paragraph" w:styleId="CadEETableOfContentsTitle">
    <w:name w:val="CadEE Table Of Contents Title"/>
    <w:rPr>
      <w:rFonts w:ascii="Arial" w:hAnsi="Arial"/>
      <w:sz w:val="28"/>
      <w:b/>
    </w:rPr>
    <w:pPr>
      <w:spacing w:before="0" w:after="0" w:line="240" w:lineRule="auto"/>
      <w:jc w:val="center"/>
    </w:pPr>
  </w:style>
  <w:style w:type="paragraph" w:styleId="TOC1">
    <w:name w:val="toc 1"/>
    <w:rPr>
      <w:rFonts w:ascii="Arial" w:hAnsi="Arial"/>
      <w:sz w:val="20"/>
      <w:b/>
    </w:rPr>
    <w:pPr>
      <w:spacing w:before="0" w:after="0" w:line="240" w:lineRule="auto"/>
    </w:pPr>
  </w:style>
  <w:style w:type="paragraph" w:styleId="TOC2">
    <w:name w:val="toc 2"/>
    <w:rPr>
      <w:rFonts w:ascii="Arial" w:hAnsi="Arial"/>
      <w:sz w:val="20"/>
      <w:b/>
    </w:rPr>
    <w:pPr>
      <w:spacing w:before="0" w:after="0" w:line="240" w:lineRule="auto"/>
    </w:pPr>
  </w:style>
  <w:style w:type="paragraph" w:styleId="TOC3">
    <w:name w:val="toc 3"/>
    <w:rPr>
      <w:rFonts w:ascii="Arial" w:hAnsi="Arial"/>
      <w:sz w:val="20"/>
      <w:b/>
    </w:rPr>
    <w:pPr>
      <w:spacing w:before="0" w:after="0" w:line="240" w:lineRule="auto"/>
    </w:pPr>
  </w:style>
  <w:style w:type="paragraph" w:styleId="TOC4">
    <w:name w:val="toc 4"/>
    <w:rPr>
      <w:rFonts w:ascii="Arial" w:hAnsi="Arial"/>
      <w:sz w:val="20"/>
      <w:b/>
    </w:rPr>
    <w:pPr>
      <w:spacing w:before="0" w:after="0" w:line="240" w:lineRule="auto"/>
    </w:pPr>
  </w:style>
  <w:style w:type="paragraph" w:styleId="CadEEHeadingLevel1">
    <w:name w:val="CadEEHeading Level 1"/>
    <w:rPr>
      <w:rFonts w:ascii="Arial" w:hAnsi="Arial"/>
      <w:sz w:val="24"/>
      <w:b/>
    </w:rPr>
    <w:pPr>
      <w:keepNext/>
      <w:spacing w:before="180" w:after="100" w:line="240" w:lineRule="auto"/>
      <w:outlineLvl w:val="0"/>
    </w:pPr>
  </w:style>
  <w:style w:type="paragraph" w:styleId="CadEEHeadingLevel2">
    <w:name w:val="CadEEHeading Level 2"/>
    <w:rPr>
      <w:rFonts w:ascii="Arial" w:hAnsi="Arial"/>
      <w:sz w:val="22"/>
      <w:b/>
    </w:rPr>
    <w:pPr>
      <w:keepNext/>
      <w:spacing w:before="140" w:after="60" w:line="240" w:lineRule="auto"/>
      <w:outlineLvl w:val="1"/>
    </w:pPr>
  </w:style>
  <w:style w:type="paragraph" w:styleId="CadEEHeadingLevel3">
    <w:name w:val="CadEEHeading Level 3"/>
    <w:rPr>
      <w:rFonts w:ascii="Arial" w:hAnsi="Arial"/>
      <w:sz w:val="20"/>
      <w:b/>
    </w:rPr>
    <w:pPr>
      <w:keepNext/>
      <w:spacing w:before="100" w:after="40" w:line="240" w:lineRule="auto"/>
      <w:outlineLvl w:val="2"/>
    </w:pPr>
  </w:style>
  <w:style w:type="paragraph" w:styleId="CadEEHeadingLevel4">
    <w:name w:val="CadEEHeading Level 4"/>
    <w:rPr>
      <w:rFonts w:ascii="Arial" w:hAnsi="Arial"/>
      <w:sz w:val="20"/>
      <w:b/>
    </w:rPr>
    <w:pPr>
      <w:keepNext/>
      <w:spacing w:before="100" w:after="40" w:line="240" w:lineRule="auto"/>
      <w:outlineLvl w:val="3"/>
    </w:pPr>
  </w:style>
  <w:style w:type="paragraph" w:styleId="CadEEEquationStyle">
    <w:name w:val="CadEEEquation Style"/>
    <w:rPr>
      <w:rFonts w:ascii="Cambria Math" w:hAnsi="Cambria Math"/>
      <w:sz w:val="20"/>
    </w:rPr>
    <w:pPr>
      <w:spacing w:before="0" w:after="0" w:line="240" w:lineRule="auto"/>
      <w:jc w:val="center"/>
    </w:pPr>
  </w:style>
  <w:style w:type="paragraph" w:styleId="CadEETableCaption">
    <w:name w:val="CadEE Table Caption"/>
    <w:rPr>
      <w:rFonts w:ascii="Arial" w:hAnsi="Arial"/>
      <w:sz w:val="20"/>
      <w:b/>
    </w:rPr>
    <w:pPr>
      <w:keepNext/>
      <w:spacing w:before="80" w:after="40" w:line="240" w:lineRule="auto"/>
    </w:pPr>
  </w:style>
  <w:style w:type="paragraph" w:styleId="CadEEFigureCaption">
    <w:name w:val="CadEE Figure Caption"/>
    <w:rPr>
      <w:rFonts w:ascii="Arial" w:hAnsi="Arial"/>
      <w:sz w:val="16"/>
    </w:rPr>
    <w:pPr>
      <w:spacing w:before="0" w:after="0" w:line="240" w:lineRule="auto"/>
      <w:jc w:val="center"/>
    </w:pPr>
  </w:style>
  <w:style w:type="paragraph" w:styleId="CadEETableStyle">
    <w:name w:val="CadEETable Style"/>
    <w:rPr>
      <w:rFonts w:ascii="Arial" w:hAnsi="Arial"/>
      <w:sz w:val="16"/>
    </w:rPr>
    <w:pPr>
      <w:spacing w:before="0" w:after="0" w:line="240" w:lineRule="auto"/>
    </w:pPr>
  </w:style>
  <w:style w:type="paragraph" w:styleId="CadEETableHeadStyle">
    <w:name w:val="CadEETableHead Style"/>
    <w:rPr>
      <w:rFonts w:ascii="Arial" w:hAnsi="Arial"/>
      <w:sz w:val="16"/>
      <w:b/>
    </w:rPr>
    <w:pPr>
      <w:spacing w:before="0" w:after="0" w:line="240" w:lineRule="auto"/>
      <w:jc w:val="center"/>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footer" Target="footer1.xml"/><Relationship Id="rId9" Type="http://schemas.openxmlformats.org/officeDocument/2006/relationships/footer" Target="footer2.xml"/></Relationships>
</file>