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DocumentTitle"/>
        <w:numPr>
          <w:ilvl w:val="0"/>
          <w:numId w:val="1"/>
        </w:numPr>
      </w:pPr>
      <w:bookmarkStart w:id="1" w:name="CadEE_Target_1"/>
      <w:r>
        <w:t xml:space="preserve">Визначення показника теплозасвоєння поверхнею підлоги згідно з ДСТУ-Н Б.2.6-190:2013</w:t>
      </w:r>
      <w:bookmarkEnd w:id="1"/>
    </w:p>
    <w:p>
      <w:pPr>
        <w:pStyle w:val="CadEEHeadingLevel2"/>
        <w:numPr>
          <w:ilvl w:val="1"/>
          <w:numId w:val="1"/>
        </w:numPr>
      </w:pPr>
      <w:bookmarkStart w:id="2" w:name="CadEE_Target_2"/>
      <w:r>
        <w:t xml:space="preserve">Розрахунок показника теплозасвоєння поверхнею підлоги Перекриття над проїздом з паркетом. </w:t>
      </w:r>
      <w:bookmarkEnd w:id="2"/>
    </w:p>
    <w:p>
      <w:pPr>
        <w:pStyle w:val="CadEENormalText"/>
      </w:pPr>
      <w:r>
        <w:t xml:space="preserve">Визначимо показник теплозасвоєння поверхнею підлоги згідно з ДСТУ-Н Б.2.6-190:2013</w:t>
      </w:r>
    </w:p>
    <w:p>
      <w:pPr>
        <w:pStyle w:val="CadEENormalText"/>
        <w:numPr>
          <w:ilvl w:val="2"/>
          <w:numId w:val="1"/>
        </w:numPr>
      </w:pPr>
      <w:bookmarkStart w:id="3" w:name="CadEE_Target_3"/>
      <w:r>
        <w:t xml:space="preserve">Опис конструкції. Загальна товщина конструкції складає 0.520 м. Кількість шарів конструкції - 6.  Шар №1 Дуб поперек волокон та товщиною 0.015 м.  Шар №2 Розчин цементно-піщаний та товщиною 0.040 м.  Шар №3 Залізобетон та товщиною 0.200 м.  Шар №4 Розчин цементно-піщаний та товщиною 0.010 м.  Шар №5 Спінений пінополістирол з густиною 25 кг/м3 та товщиною 0.250 м.  Шар №6 Розчин цементно-піщаний та товщиною 0.005 м. </w:t>
      </w:r>
      <w:bookmarkEnd w:id="3"/>
    </w:p>
    <w:p>
      <w:pPr>
        <w:jc w:val="center"/>
      </w:pPr>
      <w:r>
        <w:rPr/>
        <w:drawing>
          <wp:inline distT="0" distB="0" distL="0" distR="0">
            <wp:extent cx="5400000" cy="2700000"/>
            <wp:docPr id="1" name="Imag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4" w:name="CadEE_Target_4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</w:t>
      </w:r>
      <w:r>
        <w:fldChar w:fldCharType="end"/>
      </w:r>
      <w:bookmarkEnd w:id="4"/>
      <w:r>
        <w:t xml:space="preserve">. Розріз огороджувальної конструкції</w:t>
      </w:r>
    </w:p>
    <w:p>
      <w:pPr>
        <w:pStyle w:val="CadEEHeadingLevel3"/>
        <w:numPr>
          <w:ilvl w:val="2"/>
          <w:numId w:val="1"/>
        </w:numPr>
      </w:pPr>
      <w:bookmarkStart w:id="5" w:name="CadEE_Target_5"/>
      <w:r>
        <w:t xml:space="preserve">Визначення показника теплозасвоєння поверхнею підлоги </w:t>
      </w:r>
      <w:bookmarkEnd w:id="5"/>
    </w:p>
    <w:p>
      <w:pPr>
        <w:pStyle w:val="CadEENormalText"/>
      </w:pPr>
      <w:r>
        <w:t xml:space="preserve">Оцінку теплозасвоєння поверхнею підлоги виконуємо згідно з вимогами ДСТУ-Н Б В.2.6-190:2013, п.6.3.</w:t>
      </w:r>
    </w:p>
    <w:p>
      <w:pPr>
        <w:pStyle w:val="CadEENormalText"/>
        <w:numPr>
          <w:ilvl w:val="3"/>
          <w:numId w:val="1"/>
        </w:numPr>
      </w:pPr>
      <w:bookmarkStart w:id="6" w:name="CadEE_Target_6"/>
      <w:r>
        <w:t xml:space="preserve">Вихідні дані</w:t>
      </w:r>
      <w:bookmarkEnd w:id="6"/>
    </w:p>
    <w:p>
      <w:pPr>
        <w:pStyle w:val="CadEENormalText"/>
      </w:pPr>
      <w:r>
        <w:t xml:space="preserve">При розрахунках враховуються основні шари конструкції, теплофізичні характеристики яких приймаються згідно з Додатком А ДСТУ 9191:2022. Теплофізичні характеристики матеріалів шарів конструкції наведено в таблиці:</w:t>
      </w:r>
    </w:p>
    <w:p>
      <w:pPr>
        <w:pStyle w:val="CadEETableCaption"/>
      </w:pPr>
      <w:r>
        <w:t xml:space="preserve">Таблиця №</w:t>
      </w:r>
      <w:bookmarkStart w:id="7" w:name="CadEE_Target_7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1.1</w:t>
      </w:r>
      <w:r>
        <w:fldChar w:fldCharType="end"/>
      </w:r>
      <w:bookmarkEnd w:id="7"/>
      <w:r>
        <w:t xml:space="preserve">. Характеристики матеріалів шарів конструкції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516"/>
        <w:gridCol w:w="4651"/>
        <w:gridCol w:w="1033"/>
        <w:gridCol w:w="1033"/>
        <w:gridCol w:w="1550"/>
        <w:gridCol w:w="1550"/>
      </w:tblGrid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№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шару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Товщина,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Густина ρ,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Теплопровідність λ,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Коефіцієнт теплозасвоєння s, </w:t>
            </w:r>
          </w:p>
        </w:tc>
      </w:tr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кг/м³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Вт/(м*K). Умови експл. А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Вт/(м²K). Умови експл. А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Дуб поперек волокон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0.015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700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0.18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5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цементно-піщаний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0.04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1800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0.76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9.6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Залізобетон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0.2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2500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1.92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17.98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4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цементно-піщаний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0.01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1800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0.76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9.6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5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Спінений пінополістирол ρ=25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0.25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25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0.043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0.34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цементно-піщаний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0.005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1800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0.76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9.6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3"/>
          <w:numId w:val="1"/>
        </w:numPr>
      </w:pPr>
      <w:bookmarkStart w:id="8" w:name="CadEE_Target_8"/>
      <w:r>
        <w:t xml:space="preserve">Визначення теплових характеристик шарів непрозорої огороджувальної конструкції</w:t>
      </w:r>
      <w:bookmarkEnd w:id="8"/>
    </w:p>
    <w:p>
      <w:pPr>
        <w:pStyle w:val="CadEENormalText"/>
      </w:pPr>
      <w:r>
        <w:t xml:space="preserve">Теплові опори теплопередачі шарів непрозорої огороджувальної конструкції розраховуємо згідно з формулою (7) ДСТУ-Н Б.2.6-190:2013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0.015</m:t>
                    </m:r>
                  </m:num>
                  <m:den>
                    <m:r>
                      <m:t>0.18</m:t>
                    </m:r>
                  </m:den>
                </m:f>
                <m:r>
                  <m:t>=</m:t>
                </m:r>
                <m:r>
                  <m:t>0.0833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" w:name="CadEE_Target_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0.04</m:t>
                    </m:r>
                  </m:num>
                  <m:den>
                    <m:r>
                      <m:t>0.76</m:t>
                    </m:r>
                  </m:den>
                </m:f>
                <m:r>
                  <m:t>=</m:t>
                </m:r>
                <m:r>
                  <m:t>0.0526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0" w:name="CadEE_Target_1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1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</m:t>
                    </m:r>
                  </m:num>
                  <m:den>
                    <m:r>
                      <m:t>1.92</m:t>
                    </m:r>
                  </m:den>
                </m:f>
                <m:r>
                  <m:t>=</m:t>
                </m:r>
                <m:r>
                  <m:t>0.1042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" w:name="CadEE_Target_1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1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0.01</m:t>
                    </m:r>
                  </m:num>
                  <m:den>
                    <m:r>
                      <m:t>0.76</m:t>
                    </m:r>
                  </m:den>
                </m:f>
                <m:r>
                  <m:t>=</m:t>
                </m:r>
                <m:r>
                  <m:t>0.01316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2" w:name="CadEE_Target_1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1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0.25</m:t>
                    </m:r>
                  </m:num>
                  <m:den>
                    <m:r>
                      <m:t>0.043</m:t>
                    </m:r>
                  </m:den>
                </m:f>
                <m:r>
                  <m:t>=</m:t>
                </m:r>
                <m:r>
                  <m:t>5.814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" w:name="CadEE_Target_1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1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6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6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0.005</m:t>
                    </m:r>
                  </m:num>
                  <m:den>
                    <m:r>
                      <m:t>0.76</m:t>
                    </m:r>
                  </m:den>
                </m:f>
                <m:r>
                  <m:t>=</m:t>
                </m:r>
                <m:r>
                  <m:t>0.00658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" w:name="CadEE_Target_1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1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3"/>
          <w:numId w:val="1"/>
        </w:numPr>
      </w:pPr>
      <w:bookmarkStart w:id="15" w:name="CadEE_Target_15"/>
      <w:r>
        <w:t xml:space="preserve">Визначення теплових інерцій кожного шару непрозорої огороджувальної конструкції </w:t>
      </w:r>
      <w:bookmarkEnd w:id="15"/>
    </w:p>
    <w:p>
      <w:pPr>
        <w:pStyle w:val="CadEENormalText"/>
      </w:pPr>
      <w:r>
        <w:t xml:space="preserve">Теплові інерції шарів непрозорої огороджувальної конструкції розраховуємо згідно з формулами (5) та (6) ДСТУ-Н Б.2.6-190:2013: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0.0833</m:t>
                </m:r>
                <m:r>
                  <m:t>·</m:t>
                </m:r>
                <m:r>
                  <m:t>5</m:t>
                </m:r>
                <m:r>
                  <m:t>=</m:t>
                </m:r>
                <m:r>
                  <m:t>0.4167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" w:name="CadEE_Target_1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1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CadEE_Target_8 \n \h </w:instrText>
      </w:r>
      <w:r>
        <w:fldChar w:fldCharType="separate"/>
      </w:r>
      <w:r>
        <w:t xml:space="preserve">1.1.2.2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r>
                  <m:t>0.0526</m:t>
                </m:r>
                <m:r>
                  <m:t>·</m:t>
                </m:r>
                <m:r>
                  <m:t>9.6</m:t>
                </m:r>
                <m:r>
                  <m:t>=</m:t>
                </m:r>
                <m:r>
                  <m:t>0.505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7" w:name="CadEE_Target_1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1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CadEE_Target_8 \n \h </w:instrText>
      </w:r>
      <w:r>
        <w:fldChar w:fldCharType="separate"/>
      </w:r>
      <w:r>
        <w:t xml:space="preserve">1.1.2.2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r>
                  <m:t>0.1042</m:t>
                </m:r>
                <m:r>
                  <m:t>·</m:t>
                </m:r>
                <m:r>
                  <m:t>17.98</m:t>
                </m:r>
                <m:r>
                  <m:t>=</m:t>
                </m:r>
                <m:r>
                  <m:t>1.873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8" w:name="CadEE_Target_1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1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CadEE_Target_8 \n \h </w:instrText>
      </w:r>
      <w:r>
        <w:fldChar w:fldCharType="separate"/>
      </w:r>
      <w:r>
        <w:t xml:space="preserve">1.1.2.2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r>
                  <m:t>0.01316</m:t>
                </m:r>
                <m:r>
                  <m:t>·</m:t>
                </m:r>
                <m:r>
                  <m:t>9.6</m:t>
                </m:r>
                <m:r>
                  <m:t>=</m:t>
                </m:r>
                <m:r>
                  <m:t>0.1263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" w:name="CadEE_Target_1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1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CadEE_Target_8 \n \h </w:instrText>
      </w:r>
      <w:r>
        <w:fldChar w:fldCharType="separate"/>
      </w:r>
      <w:r>
        <w:t xml:space="preserve">1.1.2.2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r>
                  <m:t>5.814</m:t>
                </m:r>
                <m:r>
                  <m:t>·</m:t>
                </m:r>
                <m:r>
                  <m:t>0.34</m:t>
                </m:r>
                <m:r>
                  <m:t>=</m:t>
                </m:r>
                <m:r>
                  <m:t>1.977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0" w:name="CadEE_Target_2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2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CadEE_Target_8 \n \h </w:instrText>
      </w:r>
      <w:r>
        <w:fldChar w:fldCharType="separate"/>
      </w:r>
      <w:r>
        <w:t xml:space="preserve">1.1.2.2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6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r>
                  <m:t>0.00658</m:t>
                </m:r>
                <m:r>
                  <m:t>·</m:t>
                </m:r>
                <m:r>
                  <m:t>9.6</m:t>
                </m:r>
                <m:r>
                  <m:t>=</m:t>
                </m:r>
                <m:r>
                  <m:t>0.0632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" w:name="CadEE_Target_2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bookmarkEnd w:id="2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, див. п. </w:t>
      </w:r>
      <w:r>
        <w:fldChar w:fldCharType="begin"/>
      </w:r>
      <w:r>
        <w:instrText xml:space="preserve"> REF CadEE_Target_8 \n \h </w:instrText>
      </w:r>
      <w:r>
        <w:fldChar w:fldCharType="separate"/>
      </w:r>
      <w:r>
        <w:t xml:space="preserve">1.1.2.2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D</m:t>
                </m:r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2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3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4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5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r>
                  <m:t>0.4167</m:t>
                </m:r>
                <m:r>
                  <m:t>+</m:t>
                </m:r>
                <m:r>
                  <m:t>0.505</m:t>
                </m:r>
                <m:r>
                  <m:t>+</m:t>
                </m:r>
                <m:r>
                  <m:t>1.873</m:t>
                </m:r>
                <m:r>
                  <m:t>+</m:t>
                </m:r>
                <m:r>
                  <m:t>0.1263</m:t>
                </m:r>
                <m:r>
                  <m:t>+</m:t>
                </m:r>
                <m:r>
                  <m:t>1.977</m:t>
                </m:r>
                <m:r>
                  <m:t>+</m:t>
                </m:r>
                <m:r>
                  <m:t>0.0632</m:t>
                </m:r>
                <m:r>
                  <m:t>=</m:t>
                </m:r>
                <m:r>
                  <m:t>4.961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" w:name="CadEE_Target_2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bookmarkEnd w:id="2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 - теплова інерція шару конструкції, див. п. </w:t>
      </w:r>
      <w:r>
        <w:fldChar w:fldCharType="begin"/>
      </w:r>
      <w:r>
        <w:instrText xml:space="preserve"> REF CadEE_Target_15 \n \h </w:instrText>
      </w:r>
      <w:r>
        <w:fldChar w:fldCharType="separate"/>
      </w:r>
      <w:r>
        <w:t xml:space="preserve">1.1.2.3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CadEE_Target_15 \n \h </w:instrText>
      </w:r>
      <w:r>
        <w:fldChar w:fldCharType="separate"/>
      </w:r>
      <w:r>
        <w:t xml:space="preserve">1.1.2.3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CadEE_Target_15 \n \h </w:instrText>
      </w:r>
      <w:r>
        <w:fldChar w:fldCharType="separate"/>
      </w:r>
      <w:r>
        <w:t xml:space="preserve">1.1.2.3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CadEE_Target_15 \n \h </w:instrText>
      </w:r>
      <w:r>
        <w:fldChar w:fldCharType="separate"/>
      </w:r>
      <w:r>
        <w:t xml:space="preserve">1.1.2.3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CadEE_Target_15 \n \h </w:instrText>
      </w:r>
      <w:r>
        <w:fldChar w:fldCharType="separate"/>
      </w:r>
      <w:r>
        <w:t xml:space="preserve">1.1.2.3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CadEE_Target_15 \n \h </w:instrText>
      </w:r>
      <w:r>
        <w:fldChar w:fldCharType="separate"/>
      </w:r>
      <w:r>
        <w:t xml:space="preserve">1.1.2.3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Теплова інерція першого шару покриття підлоги D_1 = 0.42 &lt; 0,5. Показник теплозасвоєння визначаємо за формулами (26) та (27) п.6.3(б) ДСТУ-Н Б В.2.6-190:2013.</w:t>
      </w:r>
    </w:p>
    <w:p>
      <w:pPr>
        <w:pStyle w:val="CadEENormalText"/>
      </w:pPr>
      <w:r>
        <w:t xml:space="preserve">Сумарна теплова інерція першого шару D_1 &lt; 0,5, а з урахуванням другого шару D_1 + D_2 ≥ 0,5. Це відповідає умові п.6.3(б) ДСТУ-Н Б В.2.6-190:2013.</w:t>
      </w:r>
    </w:p>
    <w:p>
      <w:pPr>
        <w:pStyle w:val="CadEENormalText"/>
      </w:pPr>
      <w:r>
        <w:t xml:space="preserve">Показник теплозасвоєння поверхні n-го шару Y_n визначаємо за формулою (26) ДСТУ-Н Б В.2.6-190:2013: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Sup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0.5</m:t>
                        </m:r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</m:t>
                        </m:r>
                        <m:r>
                          <m:t>·</m:t>
                        </m:r>
                        <m:r>
                          <m:t>0.0833</m:t>
                        </m:r>
                        <m:r>
                          <m:t>·</m:t>
                        </m:r>
                        <m:sSup>
                          <m:e>
                            <m:r>
                              <m:t>5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+</m:t>
                        </m:r>
                        <m:r>
                          <m:t>9.6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0.5</m:t>
                        </m:r>
                        <m:r>
                          <m:t>+</m:t>
                        </m:r>
                        <m:r>
                          <m:t>0.0833</m:t>
                        </m:r>
                        <m:r>
                          <m:t>·</m:t>
                        </m:r>
                        <m:r>
                          <m:t>9.6</m:t>
                        </m:r>
                      </m:e>
                    </m:d>
                  </m:den>
                </m:f>
                <m:r>
                  <m:t>=</m:t>
                </m:r>
                <m:r>
                  <m:t>10.59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3" w:name="CadEE_Target_2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  <w:bookmarkEnd w:id="2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CadEE_Target_16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CadEE_Target_17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Показник теплозасвоєння поверхнею підлоги Y_п приймаємо рівним Y_1 згідно з п.6.3 ДСТУ-Н Б В.2.6-190:2013: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п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10.59</m:t>
                </m:r>
                <m:r>
                  <m:t>=</m:t>
                </m:r>
                <m:r>
                  <m:t>10.59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" w:name="CadEE_Target_2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  <w:bookmarkEnd w:id="2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показник теплозасвоєння поверхнею шару конструкції, див. п. </w:t>
      </w:r>
      <w:r>
        <w:fldChar w:fldCharType="begin"/>
      </w:r>
      <w:r>
        <w:instrText xml:space="preserve"> REF CadEE_Target_15 \n \h </w:instrText>
      </w:r>
      <w:r>
        <w:fldChar w:fldCharType="separate"/>
      </w:r>
      <w:r>
        <w:t xml:space="preserve">1.1.2.3</w:t>
      </w:r>
      <w:r>
        <w:fldChar w:fldCharType="end"/>
      </w:r>
      <w:r>
        <w:t xml:space="preserve">.</w:t>
      </w:r>
    </w:p>
    <w:p>
      <w:pPr>
        <w:pStyle w:val="CadEENormalText"/>
        <w:numPr>
          <w:ilvl w:val="3"/>
          <w:numId w:val="1"/>
        </w:numPr>
      </w:pPr>
      <w:bookmarkStart w:id="25" w:name="CadEE_Target_25"/>
      <w:r>
        <w:t xml:space="preserve">Максимально допустиме значення показника теплозасвоєння визначаємо, як для одноквартирний будинок, згідно з табл.4 ДБН В.2.6-31:2021:</w:t>
      </w:r>
      <w:bookmarkEnd w:id="25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Y</m:t>
              </m:r>
            </m:e>
            <m:sub>
              <m:r>
                <m:t>пmax</m:t>
              </m:r>
            </m:sub>
          </m:sSub>
          <m:r>
            <m:t>=</m:t>
          </m:r>
          <m:r>
            <m:t>12</m:t>
          </m:r>
          <m:f>
            <m:num>
              <m:r>
                <m:t>Вт</m:t>
              </m:r>
            </m:num>
            <m:den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°С</m:t>
              </m:r>
            </m:den>
          </m:f>
        </m:oMath>
      </m:oMathPara>
    </w:p>
    <w:p>
      <w:pPr>
        <w:pStyle w:val="CadEENormalText"/>
        <w:numPr>
          <w:ilvl w:val="3"/>
          <w:numId w:val="1"/>
        </w:numPr>
      </w:pPr>
      <w:bookmarkStart w:id="27" w:name="CadEE_Target_27"/>
      <w:r>
        <w:t xml:space="preserve">Оскільки:</w:t>
      </w:r>
      <w:bookmarkEnd w:id="27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Y</m:t>
              </m:r>
            </m:e>
            <m:sub>
              <m:r>
                <m:t>п</m:t>
              </m:r>
            </m:sub>
          </m:sSub>
          <m:r>
            <m:t>=</m:t>
          </m:r>
          <m:r>
            <m:t>10.59</m:t>
          </m:r>
          <m:f>
            <m:num>
              <m:r>
                <m:t>Вт</m:t>
              </m:r>
            </m:num>
            <m:den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°С</m:t>
              </m:r>
            </m:den>
          </m:f>
          <m:r>
            <m:t xml:space="preserve"> </m:t>
          </m:r>
          <m:r>
            <m:t>&lt;</m:t>
          </m:r>
          <m:r>
            <m:t xml:space="preserve"> </m:t>
          </m:r>
          <m:sSub>
            <m:e>
              <m:r>
                <m:rPr>
                  <m:sty m:val="i"/>
                </m:rPr>
                <m:t>Y</m:t>
              </m:r>
            </m:e>
            <m:sub>
              <m:r>
                <m:t>пmax</m:t>
              </m:r>
            </m:sub>
          </m:sSub>
          <m:r>
            <m:t>=</m:t>
          </m:r>
          <m:r>
            <m:t>12</m:t>
          </m:r>
          <m:f>
            <m:num>
              <m:r>
                <m:t>Вт</m:t>
              </m:r>
            </m:num>
            <m:den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°С</m:t>
              </m:r>
            </m:den>
          </m:f>
        </m:oMath>
      </m:oMathPara>
    </w:p>
    <w:p>
      <w:pPr>
        <w:pStyle w:val="CadEENormalText"/>
      </w:pPr>
      <w:r>
        <w:t xml:space="preserve">то умова (9) ДБН В.2.6-31:2021 - виконується.</w:t>
      </w:r>
    </w:p>
    <w:sectPr>
      <w:footerReference w:type="first" r:id="rId5"/>
      <w:footerReference w:type="default" r:id="rId6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розрахунку теплозасвоєння підлоги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image" Target="media/image1.png"/><Relationship Id="rId5" Type="http://schemas.openxmlformats.org/officeDocument/2006/relationships/footer" Target="footer1.xml"/><Relationship Id="rId6" Type="http://schemas.openxmlformats.org/officeDocument/2006/relationships/footer" Target="footer2.xml"/></Relationships>
</file>